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7E0D06" w:rsidTr="00345119">
        <w:tc>
          <w:tcPr>
            <w:tcW w:w="9576" w:type="dxa"/>
            <w:noWrap/>
          </w:tcPr>
          <w:p w:rsidR="008423E4" w:rsidRPr="0022177D" w:rsidRDefault="00554D72" w:rsidP="00345119">
            <w:pPr>
              <w:pStyle w:val="Heading1"/>
            </w:pPr>
            <w:bookmarkStart w:id="0" w:name="_GoBack"/>
            <w:bookmarkEnd w:id="0"/>
            <w:r w:rsidRPr="00631897">
              <w:t>BILL ANALYSIS</w:t>
            </w:r>
          </w:p>
        </w:tc>
      </w:tr>
    </w:tbl>
    <w:p w:rsidR="008423E4" w:rsidRPr="0022177D" w:rsidRDefault="00554D72" w:rsidP="008423E4">
      <w:pPr>
        <w:jc w:val="center"/>
      </w:pPr>
    </w:p>
    <w:p w:rsidR="008423E4" w:rsidRPr="00B31F0E" w:rsidRDefault="00554D72" w:rsidP="008423E4"/>
    <w:p w:rsidR="008423E4" w:rsidRPr="00742794" w:rsidRDefault="00554D72" w:rsidP="008423E4">
      <w:pPr>
        <w:tabs>
          <w:tab w:val="right" w:pos="9360"/>
        </w:tabs>
      </w:pPr>
    </w:p>
    <w:tbl>
      <w:tblPr>
        <w:tblW w:w="0" w:type="auto"/>
        <w:tblLayout w:type="fixed"/>
        <w:tblLook w:val="01E0" w:firstRow="1" w:lastRow="1" w:firstColumn="1" w:lastColumn="1" w:noHBand="0" w:noVBand="0"/>
      </w:tblPr>
      <w:tblGrid>
        <w:gridCol w:w="9576"/>
      </w:tblGrid>
      <w:tr w:rsidR="007E0D06" w:rsidTr="00345119">
        <w:tc>
          <w:tcPr>
            <w:tcW w:w="9576" w:type="dxa"/>
          </w:tcPr>
          <w:p w:rsidR="008423E4" w:rsidRPr="00861995" w:rsidRDefault="00554D72" w:rsidP="00345119">
            <w:pPr>
              <w:jc w:val="right"/>
            </w:pPr>
            <w:r>
              <w:t>S.B. 71</w:t>
            </w:r>
          </w:p>
        </w:tc>
      </w:tr>
      <w:tr w:rsidR="007E0D06" w:rsidTr="00345119">
        <w:tc>
          <w:tcPr>
            <w:tcW w:w="9576" w:type="dxa"/>
          </w:tcPr>
          <w:p w:rsidR="008423E4" w:rsidRPr="00861995" w:rsidRDefault="00554D72" w:rsidP="00345119">
            <w:pPr>
              <w:jc w:val="right"/>
            </w:pPr>
            <w:r>
              <w:t xml:space="preserve">By: </w:t>
            </w:r>
            <w:r>
              <w:t>Nelson</w:t>
            </w:r>
          </w:p>
        </w:tc>
      </w:tr>
      <w:tr w:rsidR="007E0D06" w:rsidTr="00345119">
        <w:tc>
          <w:tcPr>
            <w:tcW w:w="9576" w:type="dxa"/>
          </w:tcPr>
          <w:p w:rsidR="008423E4" w:rsidRPr="00861995" w:rsidRDefault="00554D72" w:rsidP="00345119">
            <w:pPr>
              <w:jc w:val="right"/>
            </w:pPr>
            <w:r>
              <w:t>Homeland Security &amp; Public Safety</w:t>
            </w:r>
          </w:p>
        </w:tc>
      </w:tr>
      <w:tr w:rsidR="007E0D06" w:rsidTr="00345119">
        <w:tc>
          <w:tcPr>
            <w:tcW w:w="9576" w:type="dxa"/>
          </w:tcPr>
          <w:p w:rsidR="008423E4" w:rsidRDefault="00554D72" w:rsidP="00345119">
            <w:pPr>
              <w:jc w:val="right"/>
            </w:pPr>
            <w:r>
              <w:t>Committee Report (Unamended)</w:t>
            </w:r>
          </w:p>
        </w:tc>
      </w:tr>
    </w:tbl>
    <w:p w:rsidR="008423E4" w:rsidRDefault="00554D72" w:rsidP="008423E4">
      <w:pPr>
        <w:tabs>
          <w:tab w:val="right" w:pos="9360"/>
        </w:tabs>
      </w:pPr>
    </w:p>
    <w:p w:rsidR="008423E4" w:rsidRDefault="00554D72" w:rsidP="008423E4"/>
    <w:p w:rsidR="008423E4" w:rsidRDefault="00554D72" w:rsidP="008423E4"/>
    <w:tbl>
      <w:tblPr>
        <w:tblW w:w="0" w:type="auto"/>
        <w:tblCellMar>
          <w:left w:w="115" w:type="dxa"/>
          <w:right w:w="115" w:type="dxa"/>
        </w:tblCellMar>
        <w:tblLook w:val="01E0" w:firstRow="1" w:lastRow="1" w:firstColumn="1" w:lastColumn="1" w:noHBand="0" w:noVBand="0"/>
      </w:tblPr>
      <w:tblGrid>
        <w:gridCol w:w="9360"/>
      </w:tblGrid>
      <w:tr w:rsidR="007E0D06" w:rsidTr="00345119">
        <w:tc>
          <w:tcPr>
            <w:tcW w:w="9576" w:type="dxa"/>
          </w:tcPr>
          <w:p w:rsidR="008423E4" w:rsidRPr="00A8133F" w:rsidRDefault="00554D72" w:rsidP="00B16082">
            <w:pPr>
              <w:rPr>
                <w:b/>
              </w:rPr>
            </w:pPr>
            <w:r w:rsidRPr="009C1E9A">
              <w:rPr>
                <w:b/>
                <w:u w:val="single"/>
              </w:rPr>
              <w:t>BACKGROUND AND PURPOSE</w:t>
            </w:r>
            <w:r>
              <w:rPr>
                <w:b/>
              </w:rPr>
              <w:t xml:space="preserve"> </w:t>
            </w:r>
          </w:p>
          <w:p w:rsidR="008423E4" w:rsidRDefault="00554D72" w:rsidP="00B16082"/>
          <w:p w:rsidR="008423E4" w:rsidRDefault="00554D72" w:rsidP="00B16082">
            <w:pPr>
              <w:pStyle w:val="Header"/>
              <w:jc w:val="both"/>
            </w:pPr>
            <w:r>
              <w:t xml:space="preserve">Reports indicate that many Texas communities are not currently served by a sexual assault nurse examiner or do not have </w:t>
            </w:r>
            <w:r>
              <w:t>convenient access to one. It has been suggested that sexual assault survivors in these communities have the burdensome choice between receiving care from emergency room staff, driving to the nearest sexual assault nurse examiner, or declining the collectio</w:t>
            </w:r>
            <w:r>
              <w:t>n of evidence. S.B. 71 seeks to address this issue by creating a statewide telehealth center for sexual assault forensic medical examination.</w:t>
            </w:r>
          </w:p>
          <w:p w:rsidR="008423E4" w:rsidRPr="00E26B13" w:rsidRDefault="00554D72" w:rsidP="00B16082">
            <w:pPr>
              <w:rPr>
                <w:b/>
              </w:rPr>
            </w:pPr>
          </w:p>
        </w:tc>
      </w:tr>
      <w:tr w:rsidR="007E0D06" w:rsidTr="00345119">
        <w:tc>
          <w:tcPr>
            <w:tcW w:w="9576" w:type="dxa"/>
          </w:tcPr>
          <w:p w:rsidR="0017725B" w:rsidRDefault="00554D72" w:rsidP="00B16082">
            <w:pPr>
              <w:rPr>
                <w:b/>
                <w:u w:val="single"/>
              </w:rPr>
            </w:pPr>
            <w:r>
              <w:rPr>
                <w:b/>
                <w:u w:val="single"/>
              </w:rPr>
              <w:t>CRIMINAL JUSTICE IMPACT</w:t>
            </w:r>
          </w:p>
          <w:p w:rsidR="0017725B" w:rsidRDefault="00554D72" w:rsidP="00B16082">
            <w:pPr>
              <w:rPr>
                <w:b/>
                <w:u w:val="single"/>
              </w:rPr>
            </w:pPr>
          </w:p>
          <w:p w:rsidR="00493341" w:rsidRPr="00493341" w:rsidRDefault="00554D72" w:rsidP="00B16082">
            <w:pPr>
              <w:jc w:val="both"/>
            </w:pPr>
            <w:r>
              <w:t>It is the committee's opinion that this bill does not expressly create a criminal offen</w:t>
            </w:r>
            <w:r>
              <w:t>se, increase the punishment for an existing criminal offense or category of offenses, or change the eligibility of a person for community supervision, parole, or mandatory supervision.</w:t>
            </w:r>
          </w:p>
          <w:p w:rsidR="0017725B" w:rsidRPr="0017725B" w:rsidRDefault="00554D72" w:rsidP="00B16082">
            <w:pPr>
              <w:rPr>
                <w:b/>
                <w:u w:val="single"/>
              </w:rPr>
            </w:pPr>
          </w:p>
        </w:tc>
      </w:tr>
      <w:tr w:rsidR="007E0D06" w:rsidTr="00345119">
        <w:tc>
          <w:tcPr>
            <w:tcW w:w="9576" w:type="dxa"/>
          </w:tcPr>
          <w:p w:rsidR="008423E4" w:rsidRPr="00A8133F" w:rsidRDefault="00554D72" w:rsidP="00B16082">
            <w:pPr>
              <w:rPr>
                <w:b/>
              </w:rPr>
            </w:pPr>
            <w:r w:rsidRPr="009C1E9A">
              <w:rPr>
                <w:b/>
                <w:u w:val="single"/>
              </w:rPr>
              <w:t>RULEMAKING AUTHORITY</w:t>
            </w:r>
            <w:r>
              <w:rPr>
                <w:b/>
              </w:rPr>
              <w:t xml:space="preserve"> </w:t>
            </w:r>
          </w:p>
          <w:p w:rsidR="008423E4" w:rsidRDefault="00554D72" w:rsidP="00B16082"/>
          <w:p w:rsidR="00516653" w:rsidRDefault="00554D72" w:rsidP="00B16082">
            <w:pPr>
              <w:pStyle w:val="Header"/>
              <w:tabs>
                <w:tab w:val="clear" w:pos="4320"/>
                <w:tab w:val="clear" w:pos="8640"/>
              </w:tabs>
              <w:jc w:val="both"/>
            </w:pPr>
            <w:r>
              <w:t xml:space="preserve">It is the committee's opinion that rulemaking </w:t>
            </w:r>
            <w:r>
              <w:t>authority is expressly granted to the Attorney General of Texas in SECTION 1 of this bill.</w:t>
            </w:r>
          </w:p>
          <w:p w:rsidR="008423E4" w:rsidRPr="00E21FDC" w:rsidRDefault="00554D72" w:rsidP="00B16082">
            <w:pPr>
              <w:rPr>
                <w:b/>
              </w:rPr>
            </w:pPr>
          </w:p>
        </w:tc>
      </w:tr>
      <w:tr w:rsidR="007E0D06" w:rsidTr="00345119">
        <w:tc>
          <w:tcPr>
            <w:tcW w:w="9576" w:type="dxa"/>
          </w:tcPr>
          <w:p w:rsidR="008423E4" w:rsidRPr="00A8133F" w:rsidRDefault="00554D72" w:rsidP="00B16082">
            <w:pPr>
              <w:rPr>
                <w:b/>
              </w:rPr>
            </w:pPr>
            <w:r w:rsidRPr="009C1E9A">
              <w:rPr>
                <w:b/>
                <w:u w:val="single"/>
              </w:rPr>
              <w:t>ANALYSIS</w:t>
            </w:r>
            <w:r>
              <w:rPr>
                <w:b/>
              </w:rPr>
              <w:t xml:space="preserve"> </w:t>
            </w:r>
          </w:p>
          <w:p w:rsidR="008423E4" w:rsidRDefault="00554D72" w:rsidP="00B16082"/>
          <w:p w:rsidR="00865D9E" w:rsidRDefault="00554D72" w:rsidP="00B16082">
            <w:pPr>
              <w:pStyle w:val="Header"/>
              <w:jc w:val="both"/>
            </w:pPr>
            <w:r>
              <w:t>S.B. 71</w:t>
            </w:r>
            <w:r>
              <w:t xml:space="preserve"> amends the Government Code to</w:t>
            </w:r>
            <w:r>
              <w:t xml:space="preserve"> require the attorney general to establish the statewide </w:t>
            </w:r>
            <w:r w:rsidRPr="00865D9E">
              <w:t>telehealth</w:t>
            </w:r>
            <w:r w:rsidRPr="00865D9E">
              <w:t xml:space="preserve"> center for sexual assault forensic medical examination to expand access to sexual assault nurse examiners for underserved populations.</w:t>
            </w:r>
            <w:r>
              <w:t xml:space="preserve"> The bill authorizes the center</w:t>
            </w:r>
            <w:r>
              <w:t xml:space="preserve"> </w:t>
            </w:r>
            <w:r>
              <w:t>to facilitate the provision by a sexual assault nurse examiner of the following:</w:t>
            </w:r>
          </w:p>
          <w:p w:rsidR="00865D9E" w:rsidRDefault="00554D72" w:rsidP="00B16082">
            <w:pPr>
              <w:pStyle w:val="Header"/>
              <w:numPr>
                <w:ilvl w:val="0"/>
                <w:numId w:val="1"/>
              </w:numPr>
              <w:spacing w:before="120" w:after="120"/>
              <w:jc w:val="both"/>
            </w:pPr>
            <w:r>
              <w:t>training</w:t>
            </w:r>
            <w:r>
              <w:t xml:space="preserve"> or technical assistance to a sexual assault examiner on conducting a forensic medical examination on a survivor and the use of telehealth services; and</w:t>
            </w:r>
          </w:p>
          <w:p w:rsidR="008423E4" w:rsidRDefault="00554D72" w:rsidP="00B16082">
            <w:pPr>
              <w:pStyle w:val="Header"/>
              <w:numPr>
                <w:ilvl w:val="0"/>
                <w:numId w:val="1"/>
              </w:numPr>
              <w:spacing w:before="120" w:after="120"/>
              <w:jc w:val="both"/>
            </w:pPr>
            <w:r>
              <w:t>consultation services, guidance, or technical assistance to a sexual assault examiner during a forensic</w:t>
            </w:r>
            <w:r>
              <w:t xml:space="preserve"> medical examination on a survivor.</w:t>
            </w:r>
          </w:p>
          <w:p w:rsidR="00865D9E" w:rsidRDefault="00554D72" w:rsidP="001C5F56">
            <w:pPr>
              <w:pStyle w:val="Header"/>
              <w:spacing w:before="120"/>
              <w:jc w:val="both"/>
            </w:pPr>
            <w:r>
              <w:t xml:space="preserve">The bill authorizes the center to </w:t>
            </w:r>
            <w:r w:rsidRPr="00865D9E">
              <w:t>facilitate the use of telehealth services during a forensic me</w:t>
            </w:r>
            <w:r>
              <w:t>dical examination on a survivor</w:t>
            </w:r>
            <w:r>
              <w:t xml:space="preserve"> to the extent authorized by other law and</w:t>
            </w:r>
            <w:r>
              <w:t xml:space="preserve"> with permission fro</w:t>
            </w:r>
            <w:r>
              <w:t xml:space="preserve">m the facility or entity where </w:t>
            </w:r>
            <w:r>
              <w:t>the</w:t>
            </w:r>
            <w:r>
              <w:t xml:space="preserve"> forensic medical examination </w:t>
            </w:r>
            <w:r>
              <w:t>is conducted. The bill authorizes the center to deliver other services as requested by the attorney general to carry out the purposes of the bill's provisions.</w:t>
            </w:r>
          </w:p>
          <w:p w:rsidR="00FF074A" w:rsidRDefault="00554D72" w:rsidP="00B16082">
            <w:pPr>
              <w:pStyle w:val="Header"/>
              <w:spacing w:before="120" w:after="120"/>
              <w:contextualSpacing/>
              <w:jc w:val="both"/>
            </w:pPr>
          </w:p>
          <w:p w:rsidR="0019384E" w:rsidRDefault="00554D72" w:rsidP="00B16082">
            <w:pPr>
              <w:pStyle w:val="Header"/>
              <w:spacing w:before="120" w:after="120"/>
              <w:jc w:val="both"/>
            </w:pPr>
            <w:r>
              <w:t>S.B. 71 requires the center and the attorney general to develo</w:t>
            </w:r>
            <w:r>
              <w:t xml:space="preserve">p operation protocols to address compliance with applicable laws and rules governing the following: </w:t>
            </w:r>
          </w:p>
          <w:p w:rsidR="0019384E" w:rsidRDefault="00554D72" w:rsidP="00B16082">
            <w:pPr>
              <w:pStyle w:val="Header"/>
              <w:numPr>
                <w:ilvl w:val="0"/>
                <w:numId w:val="2"/>
              </w:numPr>
              <w:spacing w:before="120" w:after="120"/>
              <w:jc w:val="both"/>
            </w:pPr>
            <w:r>
              <w:t>telehealth services</w:t>
            </w:r>
            <w:r>
              <w:t xml:space="preserve">; </w:t>
            </w:r>
          </w:p>
          <w:p w:rsidR="0019384E" w:rsidRDefault="00554D72" w:rsidP="00B16082">
            <w:pPr>
              <w:pStyle w:val="Header"/>
              <w:numPr>
                <w:ilvl w:val="0"/>
                <w:numId w:val="2"/>
              </w:numPr>
              <w:spacing w:before="120" w:after="120"/>
              <w:jc w:val="both"/>
            </w:pPr>
            <w:r>
              <w:t>standards of professional conduct for licensure and practice</w:t>
            </w:r>
            <w:r>
              <w:t xml:space="preserve">; </w:t>
            </w:r>
          </w:p>
          <w:p w:rsidR="0019384E" w:rsidRDefault="00554D72" w:rsidP="00B16082">
            <w:pPr>
              <w:pStyle w:val="Header"/>
              <w:numPr>
                <w:ilvl w:val="0"/>
                <w:numId w:val="2"/>
              </w:numPr>
              <w:spacing w:before="120" w:after="120"/>
              <w:jc w:val="both"/>
            </w:pPr>
            <w:r>
              <w:t>standards of care</w:t>
            </w:r>
            <w:r>
              <w:t xml:space="preserve">; </w:t>
            </w:r>
          </w:p>
          <w:p w:rsidR="0019384E" w:rsidRDefault="00554D72" w:rsidP="00B16082">
            <w:pPr>
              <w:pStyle w:val="Header"/>
              <w:numPr>
                <w:ilvl w:val="0"/>
                <w:numId w:val="2"/>
              </w:numPr>
              <w:spacing w:before="120" w:after="120"/>
              <w:jc w:val="both"/>
            </w:pPr>
            <w:r>
              <w:t>maintenance of records</w:t>
            </w:r>
            <w:r>
              <w:t xml:space="preserve">; </w:t>
            </w:r>
          </w:p>
          <w:p w:rsidR="0019384E" w:rsidRDefault="00554D72" w:rsidP="00B16082">
            <w:pPr>
              <w:pStyle w:val="Header"/>
              <w:numPr>
                <w:ilvl w:val="0"/>
                <w:numId w:val="2"/>
              </w:numPr>
              <w:spacing w:before="120" w:after="120"/>
              <w:jc w:val="both"/>
            </w:pPr>
            <w:r>
              <w:t>technology requirements</w:t>
            </w:r>
            <w:r>
              <w:t xml:space="preserve">; </w:t>
            </w:r>
          </w:p>
          <w:p w:rsidR="0019384E" w:rsidRDefault="00554D72" w:rsidP="00B16082">
            <w:pPr>
              <w:pStyle w:val="Header"/>
              <w:numPr>
                <w:ilvl w:val="0"/>
                <w:numId w:val="2"/>
              </w:numPr>
              <w:spacing w:before="120" w:after="120"/>
              <w:jc w:val="both"/>
            </w:pPr>
            <w:r>
              <w:t>data privacy and security of patient information</w:t>
            </w:r>
            <w:r>
              <w:t xml:space="preserve">; </w:t>
            </w:r>
            <w:r>
              <w:t xml:space="preserve">and </w:t>
            </w:r>
          </w:p>
          <w:p w:rsidR="0019384E" w:rsidRDefault="00554D72" w:rsidP="00B16082">
            <w:pPr>
              <w:pStyle w:val="Header"/>
              <w:numPr>
                <w:ilvl w:val="0"/>
                <w:numId w:val="2"/>
              </w:numPr>
              <w:spacing w:before="120" w:after="120"/>
              <w:jc w:val="both"/>
            </w:pPr>
            <w:r>
              <w:t xml:space="preserve">the operation of a telehealth center. </w:t>
            </w:r>
          </w:p>
          <w:p w:rsidR="00FF074A" w:rsidRDefault="00554D72" w:rsidP="001C5F56">
            <w:pPr>
              <w:pStyle w:val="Header"/>
              <w:spacing w:before="120"/>
              <w:jc w:val="both"/>
            </w:pPr>
            <w:r>
              <w:t xml:space="preserve">The bill requires the center to make every effort to ensure the system </w:t>
            </w:r>
            <w:r w:rsidRPr="00FF074A">
              <w:t xml:space="preserve">through which the center operates for the provision of telehealth services meets national </w:t>
            </w:r>
            <w:r w:rsidRPr="00FF074A">
              <w:t>standards for interoperability to connect to telehealth systems outside of the center.</w:t>
            </w:r>
          </w:p>
          <w:p w:rsidR="00FF074A" w:rsidRDefault="00554D72" w:rsidP="00B16082">
            <w:pPr>
              <w:pStyle w:val="Header"/>
              <w:spacing w:before="120" w:after="120"/>
              <w:contextualSpacing/>
              <w:jc w:val="both"/>
            </w:pPr>
          </w:p>
          <w:p w:rsidR="00FF074A" w:rsidRDefault="00554D72" w:rsidP="00B16082">
            <w:pPr>
              <w:pStyle w:val="Header"/>
              <w:spacing w:before="120" w:after="120"/>
              <w:jc w:val="both"/>
            </w:pPr>
            <w:r>
              <w:t xml:space="preserve">S.B. 71 authorizes the attorney general to enter into any contract the attorney general considers necessary to implement the bill's provisions. The bill authorizes the </w:t>
            </w:r>
            <w:r>
              <w:t>legislature to appropriate money to the attorney general to establish the center and sets out the purposes for which the attorney general may provide funds to the center. The bill requires the attorney general, in implementing the bill's provisions, to con</w:t>
            </w:r>
            <w:r>
              <w:t>sult with</w:t>
            </w:r>
            <w:r>
              <w:t xml:space="preserve"> certain persons and entities</w:t>
            </w:r>
            <w:r w:rsidRPr="00FF074A">
              <w:t>.</w:t>
            </w:r>
            <w:r>
              <w:t xml:space="preserve"> The bill authorizes the attorney general to adopt rules as necessary to implement the bill's provisions.</w:t>
            </w:r>
          </w:p>
          <w:p w:rsidR="008423E4" w:rsidRPr="00835628" w:rsidRDefault="00554D72" w:rsidP="00B16082">
            <w:pPr>
              <w:rPr>
                <w:b/>
              </w:rPr>
            </w:pPr>
          </w:p>
        </w:tc>
      </w:tr>
      <w:tr w:rsidR="007E0D06" w:rsidTr="00345119">
        <w:tc>
          <w:tcPr>
            <w:tcW w:w="9576" w:type="dxa"/>
          </w:tcPr>
          <w:p w:rsidR="008423E4" w:rsidRPr="00A8133F" w:rsidRDefault="00554D72" w:rsidP="00B16082">
            <w:pPr>
              <w:rPr>
                <w:b/>
              </w:rPr>
            </w:pPr>
            <w:r w:rsidRPr="009C1E9A">
              <w:rPr>
                <w:b/>
                <w:u w:val="single"/>
              </w:rPr>
              <w:t>EFFECTIVE DATE</w:t>
            </w:r>
            <w:r>
              <w:rPr>
                <w:b/>
              </w:rPr>
              <w:t xml:space="preserve"> </w:t>
            </w:r>
          </w:p>
          <w:p w:rsidR="008423E4" w:rsidRDefault="00554D72" w:rsidP="00B16082"/>
          <w:p w:rsidR="008423E4" w:rsidRPr="003624F2" w:rsidRDefault="00554D72" w:rsidP="00B16082">
            <w:pPr>
              <w:pStyle w:val="Header"/>
              <w:tabs>
                <w:tab w:val="clear" w:pos="4320"/>
                <w:tab w:val="clear" w:pos="8640"/>
              </w:tabs>
              <w:jc w:val="both"/>
            </w:pPr>
            <w:r>
              <w:t>September 1, 2019.</w:t>
            </w:r>
          </w:p>
          <w:p w:rsidR="008423E4" w:rsidRPr="00233FDB" w:rsidRDefault="00554D72" w:rsidP="00B16082">
            <w:pPr>
              <w:rPr>
                <w:b/>
              </w:rPr>
            </w:pPr>
          </w:p>
        </w:tc>
      </w:tr>
    </w:tbl>
    <w:p w:rsidR="008423E4" w:rsidRPr="00BE0E75" w:rsidRDefault="00554D72" w:rsidP="008423E4">
      <w:pPr>
        <w:spacing w:line="480" w:lineRule="auto"/>
        <w:jc w:val="both"/>
        <w:rPr>
          <w:rFonts w:ascii="Arial" w:hAnsi="Arial"/>
          <w:sz w:val="16"/>
          <w:szCs w:val="16"/>
        </w:rPr>
      </w:pPr>
    </w:p>
    <w:p w:rsidR="004108C3" w:rsidRPr="008423E4" w:rsidRDefault="00554D7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4D72">
      <w:r>
        <w:separator/>
      </w:r>
    </w:p>
  </w:endnote>
  <w:endnote w:type="continuationSeparator" w:id="0">
    <w:p w:rsidR="00000000" w:rsidRDefault="0055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54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E0D06" w:rsidTr="009C1E9A">
      <w:trPr>
        <w:cantSplit/>
      </w:trPr>
      <w:tc>
        <w:tcPr>
          <w:tcW w:w="0" w:type="pct"/>
        </w:tcPr>
        <w:p w:rsidR="00137D90" w:rsidRDefault="00554D72" w:rsidP="009C1E9A">
          <w:pPr>
            <w:pStyle w:val="Footer"/>
            <w:tabs>
              <w:tab w:val="clear" w:pos="8640"/>
              <w:tab w:val="right" w:pos="9360"/>
            </w:tabs>
          </w:pPr>
        </w:p>
      </w:tc>
      <w:tc>
        <w:tcPr>
          <w:tcW w:w="2395" w:type="pct"/>
        </w:tcPr>
        <w:p w:rsidR="00137D90" w:rsidRDefault="00554D72" w:rsidP="009C1E9A">
          <w:pPr>
            <w:pStyle w:val="Footer"/>
            <w:tabs>
              <w:tab w:val="clear" w:pos="8640"/>
              <w:tab w:val="right" w:pos="9360"/>
            </w:tabs>
          </w:pPr>
        </w:p>
        <w:p w:rsidR="001A4310" w:rsidRDefault="00554D72" w:rsidP="009C1E9A">
          <w:pPr>
            <w:pStyle w:val="Footer"/>
            <w:tabs>
              <w:tab w:val="clear" w:pos="8640"/>
              <w:tab w:val="right" w:pos="9360"/>
            </w:tabs>
          </w:pPr>
        </w:p>
        <w:p w:rsidR="00137D90" w:rsidRDefault="00554D72" w:rsidP="009C1E9A">
          <w:pPr>
            <w:pStyle w:val="Footer"/>
            <w:tabs>
              <w:tab w:val="clear" w:pos="8640"/>
              <w:tab w:val="right" w:pos="9360"/>
            </w:tabs>
          </w:pPr>
        </w:p>
      </w:tc>
      <w:tc>
        <w:tcPr>
          <w:tcW w:w="2453" w:type="pct"/>
        </w:tcPr>
        <w:p w:rsidR="00137D90" w:rsidRDefault="00554D72" w:rsidP="009C1E9A">
          <w:pPr>
            <w:pStyle w:val="Footer"/>
            <w:tabs>
              <w:tab w:val="clear" w:pos="8640"/>
              <w:tab w:val="right" w:pos="9360"/>
            </w:tabs>
            <w:jc w:val="right"/>
          </w:pPr>
        </w:p>
      </w:tc>
    </w:tr>
    <w:tr w:rsidR="007E0D06" w:rsidTr="009C1E9A">
      <w:trPr>
        <w:cantSplit/>
      </w:trPr>
      <w:tc>
        <w:tcPr>
          <w:tcW w:w="0" w:type="pct"/>
        </w:tcPr>
        <w:p w:rsidR="00EC379B" w:rsidRDefault="00554D72" w:rsidP="009C1E9A">
          <w:pPr>
            <w:pStyle w:val="Footer"/>
            <w:tabs>
              <w:tab w:val="clear" w:pos="8640"/>
              <w:tab w:val="right" w:pos="9360"/>
            </w:tabs>
          </w:pPr>
        </w:p>
      </w:tc>
      <w:tc>
        <w:tcPr>
          <w:tcW w:w="2395" w:type="pct"/>
        </w:tcPr>
        <w:p w:rsidR="00EC379B" w:rsidRPr="009C1E9A" w:rsidRDefault="00554D72" w:rsidP="009C1E9A">
          <w:pPr>
            <w:pStyle w:val="Footer"/>
            <w:tabs>
              <w:tab w:val="clear" w:pos="8640"/>
              <w:tab w:val="right" w:pos="9360"/>
            </w:tabs>
            <w:rPr>
              <w:rFonts w:ascii="Shruti" w:hAnsi="Shruti"/>
              <w:sz w:val="22"/>
            </w:rPr>
          </w:pPr>
          <w:r>
            <w:rPr>
              <w:rFonts w:ascii="Shruti" w:hAnsi="Shruti"/>
              <w:sz w:val="22"/>
            </w:rPr>
            <w:t>86R 30305</w:t>
          </w:r>
        </w:p>
      </w:tc>
      <w:tc>
        <w:tcPr>
          <w:tcW w:w="2453" w:type="pct"/>
        </w:tcPr>
        <w:p w:rsidR="00EC379B" w:rsidRDefault="00554D72" w:rsidP="009C1E9A">
          <w:pPr>
            <w:pStyle w:val="Footer"/>
            <w:tabs>
              <w:tab w:val="clear" w:pos="8640"/>
              <w:tab w:val="right" w:pos="9360"/>
            </w:tabs>
            <w:jc w:val="right"/>
          </w:pPr>
          <w:r>
            <w:fldChar w:fldCharType="begin"/>
          </w:r>
          <w:r>
            <w:instrText xml:space="preserve"> DOCPROPERTY  OTID  \* MERGEFORMAT </w:instrText>
          </w:r>
          <w:r>
            <w:fldChar w:fldCharType="separate"/>
          </w:r>
          <w:r>
            <w:t>19.118.74</w:t>
          </w:r>
          <w:r>
            <w:fldChar w:fldCharType="end"/>
          </w:r>
        </w:p>
      </w:tc>
    </w:tr>
    <w:tr w:rsidR="007E0D06" w:rsidTr="009C1E9A">
      <w:trPr>
        <w:cantSplit/>
      </w:trPr>
      <w:tc>
        <w:tcPr>
          <w:tcW w:w="0" w:type="pct"/>
        </w:tcPr>
        <w:p w:rsidR="00EC379B" w:rsidRDefault="00554D72" w:rsidP="009C1E9A">
          <w:pPr>
            <w:pStyle w:val="Footer"/>
            <w:tabs>
              <w:tab w:val="clear" w:pos="4320"/>
              <w:tab w:val="clear" w:pos="8640"/>
              <w:tab w:val="left" w:pos="2865"/>
            </w:tabs>
          </w:pPr>
        </w:p>
      </w:tc>
      <w:tc>
        <w:tcPr>
          <w:tcW w:w="2395" w:type="pct"/>
        </w:tcPr>
        <w:p w:rsidR="00EC379B" w:rsidRPr="009C1E9A" w:rsidRDefault="00554D72" w:rsidP="009C1E9A">
          <w:pPr>
            <w:pStyle w:val="Footer"/>
            <w:tabs>
              <w:tab w:val="clear" w:pos="4320"/>
              <w:tab w:val="clear" w:pos="8640"/>
              <w:tab w:val="left" w:pos="2865"/>
            </w:tabs>
            <w:rPr>
              <w:rFonts w:ascii="Shruti" w:hAnsi="Shruti"/>
              <w:sz w:val="22"/>
            </w:rPr>
          </w:pPr>
        </w:p>
      </w:tc>
      <w:tc>
        <w:tcPr>
          <w:tcW w:w="2453" w:type="pct"/>
        </w:tcPr>
        <w:p w:rsidR="00EC379B" w:rsidRDefault="00554D72" w:rsidP="006D504F">
          <w:pPr>
            <w:pStyle w:val="Footer"/>
            <w:rPr>
              <w:rStyle w:val="PageNumber"/>
            </w:rPr>
          </w:pPr>
        </w:p>
        <w:p w:rsidR="00EC379B" w:rsidRDefault="00554D72" w:rsidP="009C1E9A">
          <w:pPr>
            <w:pStyle w:val="Footer"/>
            <w:tabs>
              <w:tab w:val="clear" w:pos="8640"/>
              <w:tab w:val="right" w:pos="9360"/>
            </w:tabs>
            <w:jc w:val="right"/>
          </w:pPr>
        </w:p>
      </w:tc>
    </w:tr>
    <w:tr w:rsidR="007E0D06" w:rsidTr="009C1E9A">
      <w:trPr>
        <w:cantSplit/>
        <w:trHeight w:val="323"/>
      </w:trPr>
      <w:tc>
        <w:tcPr>
          <w:tcW w:w="0" w:type="pct"/>
          <w:gridSpan w:val="3"/>
        </w:tcPr>
        <w:p w:rsidR="00EC379B" w:rsidRDefault="00554D7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54D72" w:rsidP="009C1E9A">
          <w:pPr>
            <w:pStyle w:val="Footer"/>
            <w:tabs>
              <w:tab w:val="clear" w:pos="8640"/>
              <w:tab w:val="right" w:pos="9360"/>
            </w:tabs>
            <w:jc w:val="center"/>
          </w:pPr>
        </w:p>
      </w:tc>
    </w:tr>
  </w:tbl>
  <w:p w:rsidR="00EC379B" w:rsidRPr="00FF6F72" w:rsidRDefault="00554D7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5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4D72">
      <w:r>
        <w:separator/>
      </w:r>
    </w:p>
  </w:footnote>
  <w:footnote w:type="continuationSeparator" w:id="0">
    <w:p w:rsidR="00000000" w:rsidRDefault="0055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54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54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54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B70C4"/>
    <w:multiLevelType w:val="hybridMultilevel"/>
    <w:tmpl w:val="D1A6441C"/>
    <w:lvl w:ilvl="0" w:tplc="DAB4DEB6">
      <w:start w:val="1"/>
      <w:numFmt w:val="bullet"/>
      <w:lvlText w:val=""/>
      <w:lvlJc w:val="left"/>
      <w:pPr>
        <w:tabs>
          <w:tab w:val="num" w:pos="720"/>
        </w:tabs>
        <w:ind w:left="720" w:hanging="360"/>
      </w:pPr>
      <w:rPr>
        <w:rFonts w:ascii="Symbol" w:hAnsi="Symbol" w:hint="default"/>
      </w:rPr>
    </w:lvl>
    <w:lvl w:ilvl="1" w:tplc="AADE95CE" w:tentative="1">
      <w:start w:val="1"/>
      <w:numFmt w:val="bullet"/>
      <w:lvlText w:val="o"/>
      <w:lvlJc w:val="left"/>
      <w:pPr>
        <w:ind w:left="1440" w:hanging="360"/>
      </w:pPr>
      <w:rPr>
        <w:rFonts w:ascii="Courier New" w:hAnsi="Courier New" w:cs="Courier New" w:hint="default"/>
      </w:rPr>
    </w:lvl>
    <w:lvl w:ilvl="2" w:tplc="93F6E41C" w:tentative="1">
      <w:start w:val="1"/>
      <w:numFmt w:val="bullet"/>
      <w:lvlText w:val=""/>
      <w:lvlJc w:val="left"/>
      <w:pPr>
        <w:ind w:left="2160" w:hanging="360"/>
      </w:pPr>
      <w:rPr>
        <w:rFonts w:ascii="Wingdings" w:hAnsi="Wingdings" w:hint="default"/>
      </w:rPr>
    </w:lvl>
    <w:lvl w:ilvl="3" w:tplc="89948616" w:tentative="1">
      <w:start w:val="1"/>
      <w:numFmt w:val="bullet"/>
      <w:lvlText w:val=""/>
      <w:lvlJc w:val="left"/>
      <w:pPr>
        <w:ind w:left="2880" w:hanging="360"/>
      </w:pPr>
      <w:rPr>
        <w:rFonts w:ascii="Symbol" w:hAnsi="Symbol" w:hint="default"/>
      </w:rPr>
    </w:lvl>
    <w:lvl w:ilvl="4" w:tplc="6346EE72" w:tentative="1">
      <w:start w:val="1"/>
      <w:numFmt w:val="bullet"/>
      <w:lvlText w:val="o"/>
      <w:lvlJc w:val="left"/>
      <w:pPr>
        <w:ind w:left="3600" w:hanging="360"/>
      </w:pPr>
      <w:rPr>
        <w:rFonts w:ascii="Courier New" w:hAnsi="Courier New" w:cs="Courier New" w:hint="default"/>
      </w:rPr>
    </w:lvl>
    <w:lvl w:ilvl="5" w:tplc="4510C5F2" w:tentative="1">
      <w:start w:val="1"/>
      <w:numFmt w:val="bullet"/>
      <w:lvlText w:val=""/>
      <w:lvlJc w:val="left"/>
      <w:pPr>
        <w:ind w:left="4320" w:hanging="360"/>
      </w:pPr>
      <w:rPr>
        <w:rFonts w:ascii="Wingdings" w:hAnsi="Wingdings" w:hint="default"/>
      </w:rPr>
    </w:lvl>
    <w:lvl w:ilvl="6" w:tplc="6098319C" w:tentative="1">
      <w:start w:val="1"/>
      <w:numFmt w:val="bullet"/>
      <w:lvlText w:val=""/>
      <w:lvlJc w:val="left"/>
      <w:pPr>
        <w:ind w:left="5040" w:hanging="360"/>
      </w:pPr>
      <w:rPr>
        <w:rFonts w:ascii="Symbol" w:hAnsi="Symbol" w:hint="default"/>
      </w:rPr>
    </w:lvl>
    <w:lvl w:ilvl="7" w:tplc="79F29D16" w:tentative="1">
      <w:start w:val="1"/>
      <w:numFmt w:val="bullet"/>
      <w:lvlText w:val="o"/>
      <w:lvlJc w:val="left"/>
      <w:pPr>
        <w:ind w:left="5760" w:hanging="360"/>
      </w:pPr>
      <w:rPr>
        <w:rFonts w:ascii="Courier New" w:hAnsi="Courier New" w:cs="Courier New" w:hint="default"/>
      </w:rPr>
    </w:lvl>
    <w:lvl w:ilvl="8" w:tplc="DDB056BE" w:tentative="1">
      <w:start w:val="1"/>
      <w:numFmt w:val="bullet"/>
      <w:lvlText w:val=""/>
      <w:lvlJc w:val="left"/>
      <w:pPr>
        <w:ind w:left="6480" w:hanging="360"/>
      </w:pPr>
      <w:rPr>
        <w:rFonts w:ascii="Wingdings" w:hAnsi="Wingdings" w:hint="default"/>
      </w:rPr>
    </w:lvl>
  </w:abstractNum>
  <w:abstractNum w:abstractNumId="1" w15:restartNumberingAfterBreak="0">
    <w:nsid w:val="44B6384A"/>
    <w:multiLevelType w:val="hybridMultilevel"/>
    <w:tmpl w:val="8144AB98"/>
    <w:lvl w:ilvl="0" w:tplc="3FD8C0A6">
      <w:start w:val="1"/>
      <w:numFmt w:val="bullet"/>
      <w:lvlText w:val=""/>
      <w:lvlJc w:val="left"/>
      <w:pPr>
        <w:tabs>
          <w:tab w:val="num" w:pos="720"/>
        </w:tabs>
        <w:ind w:left="720" w:hanging="360"/>
      </w:pPr>
      <w:rPr>
        <w:rFonts w:ascii="Symbol" w:hAnsi="Symbol" w:hint="default"/>
      </w:rPr>
    </w:lvl>
    <w:lvl w:ilvl="1" w:tplc="1BB435A2" w:tentative="1">
      <w:start w:val="1"/>
      <w:numFmt w:val="bullet"/>
      <w:lvlText w:val="o"/>
      <w:lvlJc w:val="left"/>
      <w:pPr>
        <w:ind w:left="1440" w:hanging="360"/>
      </w:pPr>
      <w:rPr>
        <w:rFonts w:ascii="Courier New" w:hAnsi="Courier New" w:cs="Courier New" w:hint="default"/>
      </w:rPr>
    </w:lvl>
    <w:lvl w:ilvl="2" w:tplc="E7AE7F0C" w:tentative="1">
      <w:start w:val="1"/>
      <w:numFmt w:val="bullet"/>
      <w:lvlText w:val=""/>
      <w:lvlJc w:val="left"/>
      <w:pPr>
        <w:ind w:left="2160" w:hanging="360"/>
      </w:pPr>
      <w:rPr>
        <w:rFonts w:ascii="Wingdings" w:hAnsi="Wingdings" w:hint="default"/>
      </w:rPr>
    </w:lvl>
    <w:lvl w:ilvl="3" w:tplc="69C8B9CE" w:tentative="1">
      <w:start w:val="1"/>
      <w:numFmt w:val="bullet"/>
      <w:lvlText w:val=""/>
      <w:lvlJc w:val="left"/>
      <w:pPr>
        <w:ind w:left="2880" w:hanging="360"/>
      </w:pPr>
      <w:rPr>
        <w:rFonts w:ascii="Symbol" w:hAnsi="Symbol" w:hint="default"/>
      </w:rPr>
    </w:lvl>
    <w:lvl w:ilvl="4" w:tplc="BC189EB0" w:tentative="1">
      <w:start w:val="1"/>
      <w:numFmt w:val="bullet"/>
      <w:lvlText w:val="o"/>
      <w:lvlJc w:val="left"/>
      <w:pPr>
        <w:ind w:left="3600" w:hanging="360"/>
      </w:pPr>
      <w:rPr>
        <w:rFonts w:ascii="Courier New" w:hAnsi="Courier New" w:cs="Courier New" w:hint="default"/>
      </w:rPr>
    </w:lvl>
    <w:lvl w:ilvl="5" w:tplc="547A4942" w:tentative="1">
      <w:start w:val="1"/>
      <w:numFmt w:val="bullet"/>
      <w:lvlText w:val=""/>
      <w:lvlJc w:val="left"/>
      <w:pPr>
        <w:ind w:left="4320" w:hanging="360"/>
      </w:pPr>
      <w:rPr>
        <w:rFonts w:ascii="Wingdings" w:hAnsi="Wingdings" w:hint="default"/>
      </w:rPr>
    </w:lvl>
    <w:lvl w:ilvl="6" w:tplc="FF24D5DC" w:tentative="1">
      <w:start w:val="1"/>
      <w:numFmt w:val="bullet"/>
      <w:lvlText w:val=""/>
      <w:lvlJc w:val="left"/>
      <w:pPr>
        <w:ind w:left="5040" w:hanging="360"/>
      </w:pPr>
      <w:rPr>
        <w:rFonts w:ascii="Symbol" w:hAnsi="Symbol" w:hint="default"/>
      </w:rPr>
    </w:lvl>
    <w:lvl w:ilvl="7" w:tplc="0AB64510" w:tentative="1">
      <w:start w:val="1"/>
      <w:numFmt w:val="bullet"/>
      <w:lvlText w:val="o"/>
      <w:lvlJc w:val="left"/>
      <w:pPr>
        <w:ind w:left="5760" w:hanging="360"/>
      </w:pPr>
      <w:rPr>
        <w:rFonts w:ascii="Courier New" w:hAnsi="Courier New" w:cs="Courier New" w:hint="default"/>
      </w:rPr>
    </w:lvl>
    <w:lvl w:ilvl="8" w:tplc="E8DCCB9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06"/>
    <w:rsid w:val="00554D72"/>
    <w:rsid w:val="007E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5374F5-DA7B-4E86-A4CD-9B02A933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516653"/>
    <w:rPr>
      <w:sz w:val="16"/>
      <w:szCs w:val="16"/>
    </w:rPr>
  </w:style>
  <w:style w:type="paragraph" w:styleId="CommentText">
    <w:name w:val="annotation text"/>
    <w:basedOn w:val="Normal"/>
    <w:link w:val="CommentTextChar"/>
    <w:semiHidden/>
    <w:unhideWhenUsed/>
    <w:rsid w:val="00516653"/>
    <w:rPr>
      <w:sz w:val="20"/>
      <w:szCs w:val="20"/>
    </w:rPr>
  </w:style>
  <w:style w:type="character" w:customStyle="1" w:styleId="CommentTextChar">
    <w:name w:val="Comment Text Char"/>
    <w:basedOn w:val="DefaultParagraphFont"/>
    <w:link w:val="CommentText"/>
    <w:semiHidden/>
    <w:rsid w:val="00516653"/>
  </w:style>
  <w:style w:type="paragraph" w:styleId="CommentSubject">
    <w:name w:val="annotation subject"/>
    <w:basedOn w:val="CommentText"/>
    <w:next w:val="CommentText"/>
    <w:link w:val="CommentSubjectChar"/>
    <w:semiHidden/>
    <w:unhideWhenUsed/>
    <w:rsid w:val="00516653"/>
    <w:rPr>
      <w:b/>
      <w:bCs/>
    </w:rPr>
  </w:style>
  <w:style w:type="character" w:customStyle="1" w:styleId="CommentSubjectChar">
    <w:name w:val="Comment Subject Char"/>
    <w:basedOn w:val="CommentTextChar"/>
    <w:link w:val="CommentSubject"/>
    <w:semiHidden/>
    <w:rsid w:val="00516653"/>
    <w:rPr>
      <w:b/>
      <w:bCs/>
    </w:rPr>
  </w:style>
  <w:style w:type="paragraph" w:styleId="Revision">
    <w:name w:val="Revision"/>
    <w:hidden/>
    <w:uiPriority w:val="99"/>
    <w:semiHidden/>
    <w:rsid w:val="00347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2916</Characters>
  <Application>Microsoft Office Word</Application>
  <DocSecurity>4</DocSecurity>
  <Lines>72</Lines>
  <Paragraphs>28</Paragraphs>
  <ScaleCrop>false</ScaleCrop>
  <HeadingPairs>
    <vt:vector size="2" baseType="variant">
      <vt:variant>
        <vt:lpstr>Title</vt:lpstr>
      </vt:variant>
      <vt:variant>
        <vt:i4>1</vt:i4>
      </vt:variant>
    </vt:vector>
  </HeadingPairs>
  <TitlesOfParts>
    <vt:vector size="1" baseType="lpstr">
      <vt:lpstr>BA - SB00071 (Committee Report (Unamended))</vt:lpstr>
    </vt:vector>
  </TitlesOfParts>
  <Company>State of Texas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30305</dc:subject>
  <dc:creator>State of Texas</dc:creator>
  <dc:description>SB 71 by Nelson-(H)Homeland Security &amp; Public Safety</dc:description>
  <cp:lastModifiedBy>Stacey Nicchio</cp:lastModifiedBy>
  <cp:revision>2</cp:revision>
  <cp:lastPrinted>2003-11-26T17:21:00Z</cp:lastPrinted>
  <dcterms:created xsi:type="dcterms:W3CDTF">2019-05-16T19:28:00Z</dcterms:created>
  <dcterms:modified xsi:type="dcterms:W3CDTF">2019-05-16T19:28:00Z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19.118.74</vt:lpwstr>
  </property>
</Properties>
</file>