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12E3D" w:rsidTr="00345119">
        <w:tc>
          <w:tcPr>
            <w:tcW w:w="9576" w:type="dxa"/>
            <w:noWrap/>
          </w:tcPr>
          <w:p w:rsidR="008423E4" w:rsidRPr="0022177D" w:rsidRDefault="002F5B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5BCA" w:rsidP="008423E4">
      <w:pPr>
        <w:jc w:val="center"/>
      </w:pPr>
    </w:p>
    <w:p w:rsidR="008423E4" w:rsidRPr="00B31F0E" w:rsidRDefault="002F5BCA" w:rsidP="008423E4"/>
    <w:p w:rsidR="008423E4" w:rsidRPr="00742794" w:rsidRDefault="002F5B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2E3D" w:rsidTr="00345119">
        <w:tc>
          <w:tcPr>
            <w:tcW w:w="9576" w:type="dxa"/>
          </w:tcPr>
          <w:p w:rsidR="008423E4" w:rsidRPr="00861995" w:rsidRDefault="002F5BCA" w:rsidP="00345119">
            <w:pPr>
              <w:jc w:val="right"/>
            </w:pPr>
            <w:r>
              <w:t>C.S.S.B. 198</w:t>
            </w:r>
          </w:p>
        </w:tc>
      </w:tr>
      <w:tr w:rsidR="00D12E3D" w:rsidTr="00345119">
        <w:tc>
          <w:tcPr>
            <w:tcW w:w="9576" w:type="dxa"/>
          </w:tcPr>
          <w:p w:rsidR="008423E4" w:rsidRPr="00861995" w:rsidRDefault="002F5BCA" w:rsidP="0021262A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D12E3D" w:rsidTr="00345119">
        <w:tc>
          <w:tcPr>
            <w:tcW w:w="9576" w:type="dxa"/>
          </w:tcPr>
          <w:p w:rsidR="008423E4" w:rsidRPr="00861995" w:rsidRDefault="002F5BCA" w:rsidP="00345119">
            <w:pPr>
              <w:jc w:val="right"/>
            </w:pPr>
            <w:r>
              <w:t>Transportation</w:t>
            </w:r>
          </w:p>
        </w:tc>
      </w:tr>
      <w:tr w:rsidR="00D12E3D" w:rsidTr="00345119">
        <w:tc>
          <w:tcPr>
            <w:tcW w:w="9576" w:type="dxa"/>
          </w:tcPr>
          <w:p w:rsidR="008423E4" w:rsidRDefault="002F5BC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F5BCA" w:rsidP="008423E4">
      <w:pPr>
        <w:tabs>
          <w:tab w:val="right" w:pos="9360"/>
        </w:tabs>
      </w:pPr>
    </w:p>
    <w:p w:rsidR="008423E4" w:rsidRDefault="002F5BCA" w:rsidP="008423E4"/>
    <w:p w:rsidR="008423E4" w:rsidRDefault="002F5B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12E3D" w:rsidTr="00345119">
        <w:tc>
          <w:tcPr>
            <w:tcW w:w="9576" w:type="dxa"/>
          </w:tcPr>
          <w:p w:rsidR="008423E4" w:rsidRPr="00A8133F" w:rsidRDefault="002F5BCA" w:rsidP="00101F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5BCA" w:rsidP="00101F93"/>
          <w:p w:rsidR="008423E4" w:rsidRDefault="002F5BCA" w:rsidP="00101F93">
            <w:pPr>
              <w:pStyle w:val="Header"/>
              <w:jc w:val="both"/>
            </w:pPr>
            <w:r>
              <w:t>Many</w:t>
            </w:r>
            <w:r>
              <w:t xml:space="preserve"> Texans choose to drive on toll roads </w:t>
            </w:r>
            <w:r>
              <w:t xml:space="preserve">for </w:t>
            </w:r>
            <w:r>
              <w:t xml:space="preserve">the </w:t>
            </w:r>
            <w:r>
              <w:t xml:space="preserve">greater flexibility and improved </w:t>
            </w:r>
            <w:r>
              <w:t xml:space="preserve">mobility they offer </w:t>
            </w:r>
            <w:r>
              <w:t>in getting</w:t>
            </w:r>
            <w:r>
              <w:t xml:space="preserve"> from place to place. However, </w:t>
            </w:r>
            <w:r>
              <w:t xml:space="preserve">with reports indicating more than a dozen tolling entities in Texas, </w:t>
            </w:r>
            <w:r>
              <w:t>us</w:t>
            </w:r>
            <w:r>
              <w:t>ing</w:t>
            </w:r>
            <w:r>
              <w:t xml:space="preserve"> these toll roads can also potentially create a confusing maze of toll charges and billing practices. </w:t>
            </w:r>
            <w:r>
              <w:t>Concerns have been raised regarding the significa</w:t>
            </w:r>
            <w:r>
              <w:t>nt differences</w:t>
            </w:r>
            <w:r>
              <w:t xml:space="preserve"> between </w:t>
            </w:r>
            <w:r>
              <w:t xml:space="preserve">how </w:t>
            </w:r>
            <w:r>
              <w:t xml:space="preserve">these entities toll and bill </w:t>
            </w:r>
            <w:r>
              <w:t xml:space="preserve">users, </w:t>
            </w:r>
            <w:r>
              <w:t>caus</w:t>
            </w:r>
            <w:r>
              <w:t>ing</w:t>
            </w:r>
            <w:r>
              <w:t xml:space="preserve"> Texans to </w:t>
            </w:r>
            <w:r>
              <w:t xml:space="preserve">incur </w:t>
            </w:r>
            <w:r>
              <w:t>unexpected tolls and fees, misplace</w:t>
            </w:r>
            <w:r>
              <w:t xml:space="preserve"> related</w:t>
            </w:r>
            <w:r>
              <w:t xml:space="preserve"> mail</w:t>
            </w:r>
            <w:r>
              <w:t>ings</w:t>
            </w:r>
            <w:r>
              <w:t xml:space="preserve">, and </w:t>
            </w:r>
            <w:r>
              <w:t xml:space="preserve">sometimes be surprised by </w:t>
            </w:r>
            <w:r>
              <w:t xml:space="preserve">unintentionally unpaid bills. </w:t>
            </w:r>
            <w:r>
              <w:t>C.S.S.B.</w:t>
            </w:r>
            <w:r>
              <w:t xml:space="preserve"> 198 </w:t>
            </w:r>
            <w:r>
              <w:t xml:space="preserve">seeks to </w:t>
            </w:r>
            <w:r>
              <w:t>address many of the common frustr</w:t>
            </w:r>
            <w:r>
              <w:t>ations and concerns related to toll road billing and payment practices by providing more uniformity, predictability, and fairness to toll billing across the state.</w:t>
            </w:r>
          </w:p>
          <w:p w:rsidR="008423E4" w:rsidRPr="00E26B13" w:rsidRDefault="002F5BCA" w:rsidP="00101F93">
            <w:pPr>
              <w:rPr>
                <w:b/>
              </w:rPr>
            </w:pPr>
          </w:p>
        </w:tc>
      </w:tr>
      <w:tr w:rsidR="00D12E3D" w:rsidTr="00345119">
        <w:tc>
          <w:tcPr>
            <w:tcW w:w="9576" w:type="dxa"/>
          </w:tcPr>
          <w:p w:rsidR="0017725B" w:rsidRDefault="002F5BCA" w:rsidP="00101F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5BCA" w:rsidP="00101F93">
            <w:pPr>
              <w:rPr>
                <w:b/>
                <w:u w:val="single"/>
              </w:rPr>
            </w:pPr>
          </w:p>
          <w:p w:rsidR="00FD66D4" w:rsidRPr="00FD66D4" w:rsidRDefault="002F5BCA" w:rsidP="00101F93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F5BCA" w:rsidP="00101F93">
            <w:pPr>
              <w:rPr>
                <w:b/>
                <w:u w:val="single"/>
              </w:rPr>
            </w:pPr>
          </w:p>
        </w:tc>
      </w:tr>
      <w:tr w:rsidR="00D12E3D" w:rsidTr="00345119">
        <w:tc>
          <w:tcPr>
            <w:tcW w:w="9576" w:type="dxa"/>
          </w:tcPr>
          <w:p w:rsidR="008423E4" w:rsidRPr="00A8133F" w:rsidRDefault="002F5BCA" w:rsidP="00101F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5BCA" w:rsidP="00101F93"/>
          <w:p w:rsidR="00FD66D4" w:rsidRDefault="002F5BCA" w:rsidP="00101F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2F5BCA" w:rsidP="00101F93">
            <w:pPr>
              <w:rPr>
                <w:b/>
              </w:rPr>
            </w:pPr>
          </w:p>
        </w:tc>
      </w:tr>
      <w:tr w:rsidR="00D12E3D" w:rsidTr="00345119">
        <w:tc>
          <w:tcPr>
            <w:tcW w:w="9576" w:type="dxa"/>
          </w:tcPr>
          <w:p w:rsidR="008423E4" w:rsidRDefault="002F5BCA" w:rsidP="00101F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101F93" w:rsidRPr="00A8133F" w:rsidRDefault="002F5BCA" w:rsidP="00101F93">
            <w:pPr>
              <w:rPr>
                <w:b/>
              </w:rPr>
            </w:pPr>
          </w:p>
          <w:p w:rsidR="00F5785E" w:rsidRDefault="002F5BCA" w:rsidP="00101F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</w:t>
            </w:r>
            <w:r>
              <w:t xml:space="preserve"> 198 amends the Transportation Code to </w:t>
            </w:r>
            <w:r>
              <w:t>require the Texas Department of Transportation (TxDOT) t</w:t>
            </w:r>
            <w:r>
              <w:t xml:space="preserve">o provide </w:t>
            </w:r>
            <w:r w:rsidRPr="00F2319C">
              <w:t xml:space="preserve">electronic toll collection customers with </w:t>
            </w:r>
            <w:r>
              <w:t>the</w:t>
            </w:r>
            <w:r w:rsidRPr="00F2319C">
              <w:t xml:space="preserve"> option to authorize automatic payment of tolls through the withdrawal of funds from the customer's bank account.</w:t>
            </w:r>
            <w:r>
              <w:t xml:space="preserve"> The bill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an electronic toll collection customer using a transponder to</w:t>
            </w:r>
            <w:r>
              <w:t xml:space="preserve"> pay tol</w:t>
            </w:r>
            <w:r>
              <w:t>ls electronically</w:t>
            </w:r>
            <w:r>
              <w:t xml:space="preserve"> </w:t>
            </w:r>
            <w:r>
              <w:t>to</w:t>
            </w:r>
            <w:r>
              <w:t>:</w:t>
            </w:r>
          </w:p>
          <w:p w:rsidR="00F5785E" w:rsidRDefault="002F5BCA" w:rsidP="00101F9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activate</w:t>
            </w:r>
            <w:r>
              <w:t xml:space="preserve"> </w:t>
            </w:r>
            <w:r>
              <w:t xml:space="preserve">and mount the transponder in accordance with the procedures provided by the applicable toll project entity; </w:t>
            </w:r>
          </w:p>
          <w:p w:rsidR="00F5785E" w:rsidRDefault="002F5BCA" w:rsidP="00101F9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provide to the toll project entity accurate license plate and customer contact information; and</w:t>
            </w:r>
          </w:p>
          <w:p w:rsidR="00F5785E" w:rsidRDefault="002F5BCA" w:rsidP="00101F9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update such informat</w:t>
            </w:r>
            <w:r>
              <w:t>ion as necessary.</w:t>
            </w:r>
          </w:p>
          <w:p w:rsidR="007C2CD9" w:rsidRDefault="002F5BCA" w:rsidP="00101F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>
              <w:t>conditions</w:t>
            </w:r>
            <w:r>
              <w:t xml:space="preserve"> a toll project entity</w:t>
            </w:r>
            <w:r>
              <w:t xml:space="preserve">'s authority to </w:t>
            </w:r>
            <w:r>
              <w:t xml:space="preserve">send an invoice or a notice of unpaid tolls to the registered owner of </w:t>
            </w:r>
            <w:r w:rsidRPr="00C27AE0">
              <w:t xml:space="preserve">a vehicle </w:t>
            </w:r>
            <w:r>
              <w:t>that solicit</w:t>
            </w:r>
            <w:r>
              <w:t>s</w:t>
            </w:r>
            <w:r w:rsidRPr="00C27AE0">
              <w:t xml:space="preserve"> payment of a toll or any r</w:t>
            </w:r>
            <w:r>
              <w:t>elated administrative fee on</w:t>
            </w:r>
            <w:r>
              <w:t xml:space="preserve"> the entity first determining</w:t>
            </w:r>
            <w:r>
              <w:t>, f</w:t>
            </w:r>
            <w:r>
              <w:t>or a toll collection customer using a transponder,</w:t>
            </w:r>
            <w:r w:rsidRPr="00C27AE0">
              <w:t xml:space="preserve"> whether there is an active electronic toll collection customer account that corresponds to </w:t>
            </w:r>
            <w:r>
              <w:t>the</w:t>
            </w:r>
            <w:r w:rsidRPr="00C27AE0">
              <w:t xml:space="preserve"> transponder.</w:t>
            </w:r>
            <w:r>
              <w:t xml:space="preserve"> The bill requires a toll project entity to satisfy an unpaid toll</w:t>
            </w:r>
            <w:r>
              <w:t xml:space="preserve">, at the standard electronic </w:t>
            </w:r>
            <w:r>
              <w:t>collection rate and without the imposition of administrative or late fees,</w:t>
            </w:r>
            <w:r>
              <w:t xml:space="preserve"> </w:t>
            </w:r>
            <w:r w:rsidRPr="00C24AB7">
              <w:t xml:space="preserve">from </w:t>
            </w:r>
            <w:r>
              <w:t xml:space="preserve">such </w:t>
            </w:r>
            <w:r w:rsidRPr="00C24AB7">
              <w:t xml:space="preserve">an account </w:t>
            </w:r>
            <w:r>
              <w:t>if</w:t>
            </w:r>
            <w:r>
              <w:t xml:space="preserve"> </w:t>
            </w:r>
            <w:r w:rsidRPr="00E70E7C">
              <w:t xml:space="preserve">the account </w:t>
            </w:r>
            <w:r>
              <w:t>corresponds to a transponder issued by the entity</w:t>
            </w:r>
            <w:r>
              <w:t xml:space="preserve">, </w:t>
            </w:r>
            <w:r w:rsidRPr="00E70E7C">
              <w:t xml:space="preserve">the account </w:t>
            </w:r>
            <w:r>
              <w:t>i</w:t>
            </w:r>
            <w:r>
              <w:t>s sufficiently funded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>the customer to whom the transponder was issued has co</w:t>
            </w:r>
            <w:r>
              <w:t xml:space="preserve">mplied with </w:t>
            </w:r>
            <w:r>
              <w:t>the bill's requirements relating to the use of a transponder by a customer.</w:t>
            </w:r>
          </w:p>
          <w:p w:rsidR="00F36E48" w:rsidRDefault="002F5BCA" w:rsidP="00101F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70E7C" w:rsidRDefault="002F5BCA" w:rsidP="00101F93">
            <w:pPr>
              <w:pStyle w:val="Header"/>
              <w:jc w:val="both"/>
            </w:pPr>
            <w:r>
              <w:t>C.S.S.B.</w:t>
            </w:r>
            <w:r>
              <w:t xml:space="preserve"> 198</w:t>
            </w:r>
            <w:r>
              <w:t xml:space="preserve"> authorizes a toll project entity, regardless of whether an active electronic toll collection customer account is discovered, to send an invoice or notice </w:t>
            </w:r>
            <w:r>
              <w:t>for payment to collect an unpaid toll and related costs if the acco</w:t>
            </w:r>
            <w:r>
              <w:t>unt is insufficiently funded or</w:t>
            </w:r>
            <w:r>
              <w:t xml:space="preserve"> the electronic toll collection customer's failure to comply with the bill's provisions relating to transponder use prevents satisfaction </w:t>
            </w:r>
            <w:r>
              <w:t>of the unpaid toll f</w:t>
            </w:r>
            <w:r>
              <w:t xml:space="preserve">rom the </w:t>
            </w:r>
            <w:r>
              <w:t>account.</w:t>
            </w:r>
            <w:r>
              <w:t xml:space="preserve"> The bill requires a toll project entity</w:t>
            </w:r>
            <w:r>
              <w:t xml:space="preserve"> that discovers</w:t>
            </w:r>
            <w:r>
              <w:t xml:space="preserve"> a transponder issued by the entity did not work correctly more than 10 times in a 30-day period and must be replaced to send the customer to whom the transponder was issued a notice</w:t>
            </w:r>
            <w:r>
              <w:t xml:space="preserve"> st</w:t>
            </w:r>
            <w:r>
              <w:t>ating</w:t>
            </w:r>
            <w:r>
              <w:t xml:space="preserve"> that the transponder is not working co</w:t>
            </w:r>
            <w:r>
              <w:t>rrectly and must be replaced. The bill establishes that the</w:t>
            </w:r>
            <w:r>
              <w:t xml:space="preserve"> toll project entity is not required to send additional notice to the customer if</w:t>
            </w:r>
            <w:r>
              <w:t xml:space="preserve"> the</w:t>
            </w:r>
            <w:r>
              <w:t xml:space="preserve"> customer does not replace the transponder.</w:t>
            </w:r>
          </w:p>
          <w:p w:rsidR="00621821" w:rsidRDefault="002F5BCA" w:rsidP="00101F93">
            <w:pPr>
              <w:pStyle w:val="Header"/>
              <w:jc w:val="both"/>
            </w:pPr>
          </w:p>
          <w:p w:rsidR="006513F6" w:rsidRDefault="002F5BCA" w:rsidP="00101F93">
            <w:pPr>
              <w:pStyle w:val="Header"/>
              <w:jc w:val="both"/>
            </w:pPr>
            <w:r>
              <w:t>C.S.S.B.</w:t>
            </w:r>
            <w:r>
              <w:t xml:space="preserve"> 198 </w:t>
            </w:r>
            <w:r>
              <w:t>sets out t</w:t>
            </w:r>
            <w:r>
              <w:t>he information required to be stated in a notice or invoice of unpaid tolls by a toll project entity and the authorized methods of sending the invoice or notice to a recipient. The bill establishes that a toll project entity is not required to send such in</w:t>
            </w:r>
            <w:r>
              <w:t xml:space="preserve">voice or notice by </w:t>
            </w:r>
            <w:r>
              <w:t>those</w:t>
            </w:r>
            <w:r>
              <w:t xml:space="preserve"> </w:t>
            </w:r>
            <w:r>
              <w:t xml:space="preserve">methods if the entity does not have access to the contact information provided in the electronic toll collection customer account. </w:t>
            </w:r>
          </w:p>
          <w:p w:rsidR="006513F6" w:rsidRDefault="002F5BCA" w:rsidP="00101F93">
            <w:pPr>
              <w:pStyle w:val="Header"/>
              <w:jc w:val="both"/>
            </w:pPr>
          </w:p>
          <w:p w:rsidR="008423E4" w:rsidRDefault="002F5BCA" w:rsidP="00101F93">
            <w:pPr>
              <w:pStyle w:val="Header"/>
              <w:jc w:val="both"/>
            </w:pPr>
            <w:r>
              <w:t>C.S.S.B.</w:t>
            </w:r>
            <w:r>
              <w:t xml:space="preserve"> 198</w:t>
            </w:r>
            <w:r>
              <w:t xml:space="preserve"> authorizes a toll project entity with an electronic toll collection customer to provide to another toll project entity </w:t>
            </w:r>
            <w:r>
              <w:t>the</w:t>
            </w:r>
            <w:r>
              <w:t xml:space="preserve"> customer</w:t>
            </w:r>
            <w:r>
              <w:t>'s</w:t>
            </w:r>
            <w:r>
              <w:t xml:space="preserve"> account information for purposes of </w:t>
            </w:r>
            <w:r>
              <w:t>customer service, toll collection, enforcement, or reporting requir</w:t>
            </w:r>
            <w:r>
              <w:t>e</w:t>
            </w:r>
            <w:r>
              <w:t xml:space="preserve">ments </w:t>
            </w:r>
            <w:r>
              <w:t>and</w:t>
            </w:r>
            <w:r>
              <w:t xml:space="preserve"> require</w:t>
            </w:r>
            <w:r>
              <w:t>s the provision of such information to ensure the confidentiality of all account information. The bill requires a contract between toll project entities for the collection of tolls to specify which entity is responsible for making the determinations, sendi</w:t>
            </w:r>
            <w:r>
              <w:t>ng notices, and taking other actions, as applicable, under the bill's provisions and</w:t>
            </w:r>
            <w:r>
              <w:t xml:space="preserve"> to include terms</w:t>
            </w:r>
            <w:r>
              <w:t xml:space="preserve"> to ensure that customers do not receive invoices from more than one entity</w:t>
            </w:r>
            <w:r>
              <w:t xml:space="preserve"> for the</w:t>
            </w:r>
            <w:r>
              <w:t xml:space="preserve"> same</w:t>
            </w:r>
            <w:r>
              <w:t xml:space="preserve"> transaction</w:t>
            </w:r>
            <w:r>
              <w:t>.</w:t>
            </w:r>
            <w:r>
              <w:t xml:space="preserve"> </w:t>
            </w:r>
          </w:p>
          <w:p w:rsidR="002A6F6E" w:rsidRPr="00835628" w:rsidRDefault="002F5BCA" w:rsidP="00101F93">
            <w:pPr>
              <w:pStyle w:val="Header"/>
              <w:jc w:val="both"/>
              <w:rPr>
                <w:b/>
              </w:rPr>
            </w:pPr>
          </w:p>
        </w:tc>
      </w:tr>
      <w:tr w:rsidR="00D12E3D" w:rsidTr="00345119">
        <w:tc>
          <w:tcPr>
            <w:tcW w:w="9576" w:type="dxa"/>
          </w:tcPr>
          <w:p w:rsidR="008423E4" w:rsidRPr="00A8133F" w:rsidRDefault="002F5BCA" w:rsidP="00101F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5BCA" w:rsidP="00101F93"/>
          <w:p w:rsidR="008423E4" w:rsidRPr="003624F2" w:rsidRDefault="002F5BCA" w:rsidP="00101F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2020</w:t>
            </w:r>
            <w:r>
              <w:t>.</w:t>
            </w:r>
          </w:p>
          <w:p w:rsidR="008423E4" w:rsidRPr="00233FDB" w:rsidRDefault="002F5BCA" w:rsidP="00101F93">
            <w:pPr>
              <w:rPr>
                <w:b/>
              </w:rPr>
            </w:pPr>
          </w:p>
        </w:tc>
      </w:tr>
      <w:tr w:rsidR="00D12E3D" w:rsidTr="00345119">
        <w:tc>
          <w:tcPr>
            <w:tcW w:w="9576" w:type="dxa"/>
          </w:tcPr>
          <w:p w:rsidR="0021262A" w:rsidRDefault="002F5BCA" w:rsidP="00101F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</w:t>
            </w:r>
            <w:r>
              <w:rPr>
                <w:b/>
                <w:u w:val="single"/>
              </w:rPr>
              <w:t>OF SENATE ENGROSSED AND SUBSTITUTE</w:t>
            </w:r>
          </w:p>
          <w:p w:rsidR="000172AB" w:rsidRDefault="002F5BCA" w:rsidP="00101F93">
            <w:pPr>
              <w:jc w:val="both"/>
            </w:pPr>
          </w:p>
          <w:p w:rsidR="000172AB" w:rsidRDefault="002F5BCA" w:rsidP="00101F93">
            <w:pPr>
              <w:jc w:val="both"/>
            </w:pPr>
            <w:r>
              <w:t>While C.S.S.B. 198 may differ from the engrossed in minor or nonsubstantive ways, the following summarizes the substantial differences between the engrossed and committee substitute versions of the bill.</w:t>
            </w:r>
          </w:p>
          <w:p w:rsidR="000172AB" w:rsidRDefault="002F5BCA" w:rsidP="00101F93">
            <w:pPr>
              <w:jc w:val="both"/>
            </w:pPr>
          </w:p>
          <w:p w:rsidR="000172AB" w:rsidRDefault="002F5BCA" w:rsidP="00101F93">
            <w:pPr>
              <w:jc w:val="both"/>
            </w:pPr>
            <w:r>
              <w:t xml:space="preserve">The substitute </w:t>
            </w:r>
            <w:r>
              <w:t xml:space="preserve">changes the purposes for which a toll project entity with an electronic toll collection customer may provide to another toll project entity customer account information from </w:t>
            </w:r>
            <w:r>
              <w:t xml:space="preserve">purposes of </w:t>
            </w:r>
            <w:r>
              <w:t>soliciting payment under the bill's provisions to</w:t>
            </w:r>
            <w:r>
              <w:t xml:space="preserve"> purposes of</w:t>
            </w:r>
            <w:r>
              <w:t xml:space="preserve"> customer</w:t>
            </w:r>
            <w:r>
              <w:t xml:space="preserve"> service, toll collection, enforcement, or reporting requirements. </w:t>
            </w:r>
          </w:p>
          <w:p w:rsidR="000172AB" w:rsidRDefault="002F5BCA" w:rsidP="00101F93">
            <w:pPr>
              <w:jc w:val="both"/>
            </w:pPr>
          </w:p>
          <w:p w:rsidR="000172AB" w:rsidRDefault="002F5BCA" w:rsidP="00101F93">
            <w:pPr>
              <w:jc w:val="both"/>
            </w:pPr>
            <w:r>
              <w:t xml:space="preserve">The substitute </w:t>
            </w:r>
            <w:r>
              <w:t>does not include contracts for related purposes other than the collection of tolls in</w:t>
            </w:r>
            <w:r>
              <w:t xml:space="preserve"> </w:t>
            </w:r>
            <w:r>
              <w:t xml:space="preserve">the applicability </w:t>
            </w:r>
            <w:r>
              <w:t xml:space="preserve">of </w:t>
            </w:r>
            <w:r>
              <w:t xml:space="preserve">the </w:t>
            </w:r>
            <w:r>
              <w:t xml:space="preserve">bill's </w:t>
            </w:r>
            <w:r>
              <w:t>requirements imposed on</w:t>
            </w:r>
            <w:r>
              <w:t xml:space="preserve"> certain</w:t>
            </w:r>
            <w:r>
              <w:t xml:space="preserve"> contracts between toll</w:t>
            </w:r>
            <w:r>
              <w:t xml:space="preserve"> project entities</w:t>
            </w:r>
            <w:r>
              <w:t xml:space="preserve">. The substitute </w:t>
            </w:r>
            <w:r>
              <w:t>changes one of th</w:t>
            </w:r>
            <w:r>
              <w:t xml:space="preserve">e requirements </w:t>
            </w:r>
            <w:r>
              <w:t xml:space="preserve">imposed on such a contract for the collection of tolls </w:t>
            </w:r>
            <w:r>
              <w:t>from ensuring that customers do not receive invoices or incur fees or other charges from more than one entity to including terms to ens</w:t>
            </w:r>
            <w:r>
              <w:t>ure that customers do not receive invoices from more than one entity for the same transaction</w:t>
            </w:r>
            <w:r>
              <w:t>.</w:t>
            </w:r>
          </w:p>
          <w:p w:rsidR="000172AB" w:rsidRDefault="002F5BCA" w:rsidP="00101F93">
            <w:pPr>
              <w:jc w:val="both"/>
            </w:pPr>
          </w:p>
          <w:p w:rsidR="000172AB" w:rsidRDefault="002F5BCA" w:rsidP="00101F93">
            <w:pPr>
              <w:jc w:val="both"/>
            </w:pPr>
            <w:r>
              <w:t>The substitute changes the bill's effective date from September 1, 2019, to September 1, 2020.</w:t>
            </w:r>
          </w:p>
          <w:p w:rsidR="000172AB" w:rsidRPr="000172AB" w:rsidRDefault="002F5BCA" w:rsidP="00101F93">
            <w:pPr>
              <w:jc w:val="both"/>
            </w:pPr>
          </w:p>
        </w:tc>
      </w:tr>
      <w:tr w:rsidR="00D12E3D" w:rsidTr="00345119">
        <w:tc>
          <w:tcPr>
            <w:tcW w:w="9576" w:type="dxa"/>
          </w:tcPr>
          <w:p w:rsidR="0021262A" w:rsidRPr="009C1E9A" w:rsidRDefault="002F5BCA" w:rsidP="00101F93">
            <w:pPr>
              <w:rPr>
                <w:b/>
                <w:u w:val="single"/>
              </w:rPr>
            </w:pPr>
          </w:p>
        </w:tc>
      </w:tr>
      <w:tr w:rsidR="00D12E3D" w:rsidTr="00345119">
        <w:tc>
          <w:tcPr>
            <w:tcW w:w="9576" w:type="dxa"/>
          </w:tcPr>
          <w:p w:rsidR="0021262A" w:rsidRPr="0021262A" w:rsidRDefault="002F5BCA" w:rsidP="00101F93">
            <w:pPr>
              <w:jc w:val="both"/>
            </w:pPr>
          </w:p>
        </w:tc>
      </w:tr>
    </w:tbl>
    <w:p w:rsidR="008423E4" w:rsidRPr="00BE0E75" w:rsidRDefault="002F5BC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5BC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5BCA">
      <w:r>
        <w:separator/>
      </w:r>
    </w:p>
  </w:endnote>
  <w:endnote w:type="continuationSeparator" w:id="0">
    <w:p w:rsidR="00000000" w:rsidRDefault="002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5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2E3D" w:rsidTr="009C1E9A">
      <w:trPr>
        <w:cantSplit/>
      </w:trPr>
      <w:tc>
        <w:tcPr>
          <w:tcW w:w="0" w:type="pct"/>
        </w:tcPr>
        <w:p w:rsidR="00137D90" w:rsidRDefault="002F5B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5B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5B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5B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5B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2E3D" w:rsidTr="009C1E9A">
      <w:trPr>
        <w:cantSplit/>
      </w:trPr>
      <w:tc>
        <w:tcPr>
          <w:tcW w:w="0" w:type="pct"/>
        </w:tcPr>
        <w:p w:rsidR="00EC379B" w:rsidRDefault="002F5B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5B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31548</w:t>
          </w:r>
        </w:p>
      </w:tc>
      <w:tc>
        <w:tcPr>
          <w:tcW w:w="2453" w:type="pct"/>
        </w:tcPr>
        <w:p w:rsidR="00EC379B" w:rsidRDefault="002F5B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19.123.343</w:t>
          </w:r>
          <w:r>
            <w:fldChar w:fldCharType="end"/>
          </w:r>
        </w:p>
      </w:tc>
    </w:tr>
    <w:tr w:rsidR="00D12E3D" w:rsidTr="009C1E9A">
      <w:trPr>
        <w:cantSplit/>
      </w:trPr>
      <w:tc>
        <w:tcPr>
          <w:tcW w:w="0" w:type="pct"/>
        </w:tcPr>
        <w:p w:rsidR="00EC379B" w:rsidRDefault="002F5B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5B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28857</w:t>
          </w:r>
        </w:p>
      </w:tc>
      <w:tc>
        <w:tcPr>
          <w:tcW w:w="2453" w:type="pct"/>
        </w:tcPr>
        <w:p w:rsidR="00EC379B" w:rsidRDefault="002F5BCA" w:rsidP="006D504F">
          <w:pPr>
            <w:pStyle w:val="Footer"/>
            <w:rPr>
              <w:rStyle w:val="PageNumber"/>
            </w:rPr>
          </w:pPr>
        </w:p>
        <w:p w:rsidR="00EC379B" w:rsidRDefault="002F5B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2E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5B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F5B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5B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5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5BCA">
      <w:r>
        <w:separator/>
      </w:r>
    </w:p>
  </w:footnote>
  <w:footnote w:type="continuationSeparator" w:id="0">
    <w:p w:rsidR="00000000" w:rsidRDefault="002F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5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5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5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C62"/>
    <w:multiLevelType w:val="hybridMultilevel"/>
    <w:tmpl w:val="CF1AA6C8"/>
    <w:lvl w:ilvl="0" w:tplc="2E48D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E6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6D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ED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4C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EA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21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24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24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036"/>
    <w:multiLevelType w:val="hybridMultilevel"/>
    <w:tmpl w:val="FEA6F3F8"/>
    <w:lvl w:ilvl="0" w:tplc="68309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87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2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2D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6C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CD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AD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61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A5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5B11"/>
    <w:multiLevelType w:val="hybridMultilevel"/>
    <w:tmpl w:val="C6B0D9AC"/>
    <w:lvl w:ilvl="0" w:tplc="8C7CE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E0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20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64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E0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A9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62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61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29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797D"/>
    <w:multiLevelType w:val="hybridMultilevel"/>
    <w:tmpl w:val="0748BAB6"/>
    <w:lvl w:ilvl="0" w:tplc="047C7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08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04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6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C2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69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A7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4D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A4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29B4"/>
    <w:multiLevelType w:val="hybridMultilevel"/>
    <w:tmpl w:val="387E94D2"/>
    <w:lvl w:ilvl="0" w:tplc="82264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0E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49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0F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1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AF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03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8C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48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3D"/>
    <w:rsid w:val="002F5BCA"/>
    <w:rsid w:val="00D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82515D-FAE7-4902-83F6-28BE49B7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2C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2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2C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2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2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5237</Characters>
  <Application>Microsoft Office Word</Application>
  <DocSecurity>4</DocSecurity>
  <Lines>109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SB00198 (Committee Report (Substituted))</vt:lpstr>
    </vt:vector>
  </TitlesOfParts>
  <Company>State of Texas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31548</dc:subject>
  <dc:creator>State of Texas</dc:creator>
  <dc:description>SB 198 by Schwertner-(H)Transportation (Substitute Document Number: 86R 28857)</dc:description>
  <cp:lastModifiedBy>Scotty Wimberley</cp:lastModifiedBy>
  <cp:revision>2</cp:revision>
  <cp:lastPrinted>2003-11-26T17:21:00Z</cp:lastPrinted>
  <dcterms:created xsi:type="dcterms:W3CDTF">2019-05-07T23:06:00Z</dcterms:created>
  <dcterms:modified xsi:type="dcterms:W3CDTF">2019-05-07T23:06:00Z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19.123.343</vt:lpwstr>
  </property>
</Properties>
</file>