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9057A" w:rsidTr="00345119">
        <w:tc>
          <w:tcPr>
            <w:tcW w:w="9576" w:type="dxa"/>
            <w:noWrap/>
          </w:tcPr>
          <w:p w:rsidR="008423E4" w:rsidRPr="0022177D" w:rsidRDefault="00E11D07" w:rsidP="00345119">
            <w:pPr>
              <w:pStyle w:val="Heading1"/>
            </w:pPr>
            <w:bookmarkStart w:id="0" w:name="_GoBack"/>
            <w:bookmarkEnd w:id="0"/>
            <w:r w:rsidRPr="00631897">
              <w:t>BILL ANALYSIS</w:t>
            </w:r>
          </w:p>
        </w:tc>
      </w:tr>
    </w:tbl>
    <w:p w:rsidR="008423E4" w:rsidRPr="0022177D" w:rsidRDefault="00E11D07" w:rsidP="008423E4">
      <w:pPr>
        <w:jc w:val="center"/>
      </w:pPr>
    </w:p>
    <w:p w:rsidR="008423E4" w:rsidRPr="00B31F0E" w:rsidRDefault="00E11D07" w:rsidP="008423E4"/>
    <w:p w:rsidR="008423E4" w:rsidRPr="00742794" w:rsidRDefault="00E11D07" w:rsidP="008423E4">
      <w:pPr>
        <w:tabs>
          <w:tab w:val="right" w:pos="9360"/>
        </w:tabs>
      </w:pPr>
    </w:p>
    <w:tbl>
      <w:tblPr>
        <w:tblW w:w="0" w:type="auto"/>
        <w:tblLayout w:type="fixed"/>
        <w:tblLook w:val="01E0" w:firstRow="1" w:lastRow="1" w:firstColumn="1" w:lastColumn="1" w:noHBand="0" w:noVBand="0"/>
      </w:tblPr>
      <w:tblGrid>
        <w:gridCol w:w="9576"/>
      </w:tblGrid>
      <w:tr w:rsidR="0079057A" w:rsidTr="00345119">
        <w:tc>
          <w:tcPr>
            <w:tcW w:w="9576" w:type="dxa"/>
          </w:tcPr>
          <w:p w:rsidR="008423E4" w:rsidRPr="00861995" w:rsidRDefault="00E11D07" w:rsidP="00345119">
            <w:pPr>
              <w:jc w:val="right"/>
            </w:pPr>
            <w:r>
              <w:t>S.B. 335</w:t>
            </w:r>
          </w:p>
        </w:tc>
      </w:tr>
      <w:tr w:rsidR="0079057A" w:rsidTr="00345119">
        <w:tc>
          <w:tcPr>
            <w:tcW w:w="9576" w:type="dxa"/>
          </w:tcPr>
          <w:p w:rsidR="008423E4" w:rsidRPr="00861995" w:rsidRDefault="00E11D07" w:rsidP="00345119">
            <w:pPr>
              <w:jc w:val="right"/>
            </w:pPr>
            <w:r>
              <w:t xml:space="preserve">By: </w:t>
            </w:r>
            <w:r>
              <w:t>West</w:t>
            </w:r>
          </w:p>
        </w:tc>
      </w:tr>
      <w:tr w:rsidR="0079057A" w:rsidTr="00345119">
        <w:tc>
          <w:tcPr>
            <w:tcW w:w="9576" w:type="dxa"/>
          </w:tcPr>
          <w:p w:rsidR="008423E4" w:rsidRPr="00861995" w:rsidRDefault="00E11D07" w:rsidP="00345119">
            <w:pPr>
              <w:jc w:val="right"/>
            </w:pPr>
            <w:r>
              <w:t>Ways &amp; Means</w:t>
            </w:r>
          </w:p>
        </w:tc>
      </w:tr>
      <w:tr w:rsidR="0079057A" w:rsidTr="00345119">
        <w:tc>
          <w:tcPr>
            <w:tcW w:w="9576" w:type="dxa"/>
          </w:tcPr>
          <w:p w:rsidR="008423E4" w:rsidRDefault="00E11D07" w:rsidP="00345119">
            <w:pPr>
              <w:jc w:val="right"/>
            </w:pPr>
            <w:r>
              <w:t>Committee Report (Unamended)</w:t>
            </w:r>
          </w:p>
        </w:tc>
      </w:tr>
    </w:tbl>
    <w:p w:rsidR="008423E4" w:rsidRDefault="00E11D07" w:rsidP="008423E4">
      <w:pPr>
        <w:tabs>
          <w:tab w:val="right" w:pos="9360"/>
        </w:tabs>
      </w:pPr>
    </w:p>
    <w:p w:rsidR="008423E4" w:rsidRDefault="00E11D07" w:rsidP="008423E4"/>
    <w:p w:rsidR="008423E4" w:rsidRDefault="00E11D07" w:rsidP="008423E4"/>
    <w:tbl>
      <w:tblPr>
        <w:tblW w:w="0" w:type="auto"/>
        <w:tblCellMar>
          <w:left w:w="115" w:type="dxa"/>
          <w:right w:w="115" w:type="dxa"/>
        </w:tblCellMar>
        <w:tblLook w:val="01E0" w:firstRow="1" w:lastRow="1" w:firstColumn="1" w:lastColumn="1" w:noHBand="0" w:noVBand="0"/>
      </w:tblPr>
      <w:tblGrid>
        <w:gridCol w:w="9360"/>
      </w:tblGrid>
      <w:tr w:rsidR="0079057A" w:rsidTr="00345119">
        <w:tc>
          <w:tcPr>
            <w:tcW w:w="9576" w:type="dxa"/>
          </w:tcPr>
          <w:p w:rsidR="008423E4" w:rsidRPr="00A8133F" w:rsidRDefault="00E11D07" w:rsidP="003F139D">
            <w:pPr>
              <w:rPr>
                <w:b/>
              </w:rPr>
            </w:pPr>
            <w:r w:rsidRPr="009C1E9A">
              <w:rPr>
                <w:b/>
                <w:u w:val="single"/>
              </w:rPr>
              <w:t>BACKGROUND AND PURPOSE</w:t>
            </w:r>
            <w:r>
              <w:rPr>
                <w:b/>
              </w:rPr>
              <w:t xml:space="preserve"> </w:t>
            </w:r>
          </w:p>
          <w:p w:rsidR="008423E4" w:rsidRDefault="00E11D07" w:rsidP="003F139D"/>
          <w:p w:rsidR="008423E4" w:rsidRDefault="00E11D07" w:rsidP="003F139D">
            <w:pPr>
              <w:pStyle w:val="Header"/>
              <w:jc w:val="both"/>
            </w:pPr>
            <w:r>
              <w:t>Community land trusts are used to expand home</w:t>
            </w:r>
            <w:r>
              <w:t xml:space="preserve"> </w:t>
            </w:r>
            <w:r>
              <w:t>ownership opportunities for low-</w:t>
            </w:r>
            <w:r>
              <w:t>income</w:t>
            </w:r>
            <w:r>
              <w:t xml:space="preserve"> and moderate-income families, especially in areas with rapidly rising property values. It has been suggested that current law governing these land trusts is ambiguous, leaving it unclear whether a trust is able to enjoy the benefits of establishing a limi</w:t>
            </w:r>
            <w:r>
              <w:t xml:space="preserve">ted liability company and whether property tax exemptions for community land trusts must be readopted annually. S.B. 335 seeks to provide clarity with respect to those ambiguities in state law and </w:t>
            </w:r>
            <w:r>
              <w:t xml:space="preserve">to </w:t>
            </w:r>
            <w:r>
              <w:t>provide uniformity to the methodology for appraising com</w:t>
            </w:r>
            <w:r>
              <w:t>munity land trust property.</w:t>
            </w:r>
          </w:p>
          <w:p w:rsidR="00B572AD" w:rsidRPr="00E26B13" w:rsidRDefault="00E11D07" w:rsidP="003F139D">
            <w:pPr>
              <w:pStyle w:val="Header"/>
              <w:jc w:val="both"/>
              <w:rPr>
                <w:b/>
              </w:rPr>
            </w:pPr>
          </w:p>
        </w:tc>
      </w:tr>
      <w:tr w:rsidR="0079057A" w:rsidTr="00345119">
        <w:tc>
          <w:tcPr>
            <w:tcW w:w="9576" w:type="dxa"/>
          </w:tcPr>
          <w:p w:rsidR="0017725B" w:rsidRDefault="00E11D07" w:rsidP="003F139D">
            <w:pPr>
              <w:rPr>
                <w:b/>
                <w:u w:val="single"/>
              </w:rPr>
            </w:pPr>
            <w:r>
              <w:rPr>
                <w:b/>
                <w:u w:val="single"/>
              </w:rPr>
              <w:t>CRIMINAL JUSTICE IMPACT</w:t>
            </w:r>
          </w:p>
          <w:p w:rsidR="0017725B" w:rsidRDefault="00E11D07" w:rsidP="003F139D">
            <w:pPr>
              <w:rPr>
                <w:b/>
                <w:u w:val="single"/>
              </w:rPr>
            </w:pPr>
          </w:p>
          <w:p w:rsidR="00CE2414" w:rsidRPr="00CE2414" w:rsidRDefault="00E11D07" w:rsidP="003F139D">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E11D07" w:rsidP="003F139D">
            <w:pPr>
              <w:rPr>
                <w:b/>
                <w:u w:val="single"/>
              </w:rPr>
            </w:pPr>
          </w:p>
        </w:tc>
      </w:tr>
      <w:tr w:rsidR="0079057A" w:rsidTr="00345119">
        <w:tc>
          <w:tcPr>
            <w:tcW w:w="9576" w:type="dxa"/>
          </w:tcPr>
          <w:p w:rsidR="008423E4" w:rsidRPr="00A8133F" w:rsidRDefault="00E11D07" w:rsidP="003F139D">
            <w:pPr>
              <w:rPr>
                <w:b/>
              </w:rPr>
            </w:pPr>
            <w:r w:rsidRPr="009C1E9A">
              <w:rPr>
                <w:b/>
                <w:u w:val="single"/>
              </w:rPr>
              <w:t>RULEMAKING AUTHORITY</w:t>
            </w:r>
            <w:r>
              <w:rPr>
                <w:b/>
              </w:rPr>
              <w:t xml:space="preserve"> </w:t>
            </w:r>
          </w:p>
          <w:p w:rsidR="008423E4" w:rsidRDefault="00E11D07" w:rsidP="003F139D"/>
          <w:p w:rsidR="00CE2414" w:rsidRDefault="00E11D07" w:rsidP="003F139D">
            <w:pPr>
              <w:pStyle w:val="Header"/>
              <w:tabs>
                <w:tab w:val="clear" w:pos="4320"/>
                <w:tab w:val="clear" w:pos="8640"/>
              </w:tabs>
              <w:jc w:val="both"/>
            </w:pPr>
            <w:r>
              <w:t>It is the committee's opinion that this bill does not expressly grant any additional rulemaking authority to a state officer, department, agency, or institution</w:t>
            </w:r>
            <w:r>
              <w:t>.</w:t>
            </w:r>
          </w:p>
          <w:p w:rsidR="008423E4" w:rsidRPr="00E21FDC" w:rsidRDefault="00E11D07" w:rsidP="003F139D">
            <w:pPr>
              <w:rPr>
                <w:b/>
              </w:rPr>
            </w:pPr>
          </w:p>
        </w:tc>
      </w:tr>
      <w:tr w:rsidR="0079057A" w:rsidTr="00345119">
        <w:tc>
          <w:tcPr>
            <w:tcW w:w="9576" w:type="dxa"/>
          </w:tcPr>
          <w:p w:rsidR="008423E4" w:rsidRPr="00A8133F" w:rsidRDefault="00E11D07" w:rsidP="003F139D">
            <w:pPr>
              <w:rPr>
                <w:b/>
              </w:rPr>
            </w:pPr>
            <w:r w:rsidRPr="009C1E9A">
              <w:rPr>
                <w:b/>
                <w:u w:val="single"/>
              </w:rPr>
              <w:t>ANALYSIS</w:t>
            </w:r>
            <w:r>
              <w:rPr>
                <w:b/>
              </w:rPr>
              <w:t xml:space="preserve"> </w:t>
            </w:r>
          </w:p>
          <w:p w:rsidR="008423E4" w:rsidRDefault="00E11D07" w:rsidP="003F139D"/>
          <w:p w:rsidR="008423E4" w:rsidRDefault="00E11D07" w:rsidP="003F139D">
            <w:pPr>
              <w:pStyle w:val="Header"/>
              <w:tabs>
                <w:tab w:val="clear" w:pos="4320"/>
                <w:tab w:val="clear" w:pos="8640"/>
              </w:tabs>
              <w:jc w:val="both"/>
            </w:pPr>
            <w:r>
              <w:t>S.B. 335</w:t>
            </w:r>
            <w:r>
              <w:t xml:space="preserve"> amends the Local Government Code</w:t>
            </w:r>
            <w:r>
              <w:t xml:space="preserve"> </w:t>
            </w:r>
            <w:r w:rsidRPr="006C506B">
              <w:t xml:space="preserve">to change an aspect of the nature of a community land trust </w:t>
            </w:r>
            <w:r>
              <w:t xml:space="preserve">from a nonprofit organization </w:t>
            </w:r>
            <w:r w:rsidRPr="006C506B">
              <w:t xml:space="preserve">that is a </w:t>
            </w:r>
            <w:r>
              <w:t>501</w:t>
            </w:r>
            <w:r>
              <w:t xml:space="preserve">(c)(3) </w:t>
            </w:r>
            <w:r w:rsidRPr="006C506B">
              <w:t xml:space="preserve">charitable organization exempt from federal income tax under the federal Internal Revenue Code of 1986 to a nonprofit organization that is organized as such </w:t>
            </w:r>
            <w:r>
              <w:t xml:space="preserve">a charitable </w:t>
            </w:r>
            <w:r w:rsidRPr="006C506B">
              <w:t xml:space="preserve">organization, as a limited partnership of which such </w:t>
            </w:r>
            <w:r>
              <w:t>a charitable</w:t>
            </w:r>
            <w:r w:rsidRPr="006C506B">
              <w:t xml:space="preserve"> organization control</w:t>
            </w:r>
            <w:r w:rsidRPr="006C506B">
              <w:t xml:space="preserve">s 100 percent of the general partner interest, or as a limited liability company for which such </w:t>
            </w:r>
            <w:r>
              <w:t>a charitable</w:t>
            </w:r>
            <w:r w:rsidRPr="006C506B">
              <w:t xml:space="preserve"> organization serves as the only member.</w:t>
            </w:r>
          </w:p>
          <w:p w:rsidR="00310441" w:rsidRDefault="00E11D07" w:rsidP="003F139D">
            <w:pPr>
              <w:pStyle w:val="Header"/>
              <w:tabs>
                <w:tab w:val="clear" w:pos="4320"/>
                <w:tab w:val="clear" w:pos="8640"/>
              </w:tabs>
              <w:jc w:val="both"/>
            </w:pPr>
          </w:p>
          <w:p w:rsidR="00085E31" w:rsidRDefault="00E11D07" w:rsidP="003F139D">
            <w:pPr>
              <w:pStyle w:val="Header"/>
              <w:tabs>
                <w:tab w:val="clear" w:pos="4320"/>
                <w:tab w:val="clear" w:pos="8640"/>
              </w:tabs>
              <w:jc w:val="both"/>
            </w:pPr>
            <w:r>
              <w:t xml:space="preserve">S.B. 335 amends the Tax Code </w:t>
            </w:r>
            <w:r>
              <w:t xml:space="preserve">to establish that, </w:t>
            </w:r>
            <w:r w:rsidRPr="00085E31">
              <w:t>once adopted by the g</w:t>
            </w:r>
            <w:r>
              <w:t xml:space="preserve">overning body of a taxing unit, the </w:t>
            </w:r>
            <w:r>
              <w:t>p</w:t>
            </w:r>
            <w:r>
              <w:t xml:space="preserve">roperty tax </w:t>
            </w:r>
            <w:r>
              <w:t>exemption</w:t>
            </w:r>
            <w:r>
              <w:t xml:space="preserve"> for a community land trust</w:t>
            </w:r>
            <w:r>
              <w:t xml:space="preserve"> </w:t>
            </w:r>
            <w:r w:rsidRPr="00085E31">
              <w:t>continues to apply to property located in the taxing unit until the governing body rescinds the exemption in the manner provided by law for official action by the body</w:t>
            </w:r>
            <w:r>
              <w:t>.</w:t>
            </w:r>
          </w:p>
          <w:p w:rsidR="003F1B8C" w:rsidRDefault="00E11D07" w:rsidP="003F139D">
            <w:pPr>
              <w:pStyle w:val="Header"/>
              <w:tabs>
                <w:tab w:val="clear" w:pos="4320"/>
                <w:tab w:val="clear" w:pos="8640"/>
              </w:tabs>
              <w:jc w:val="both"/>
            </w:pPr>
          </w:p>
          <w:p w:rsidR="000F3CA3" w:rsidRDefault="00E11D07" w:rsidP="003F139D">
            <w:pPr>
              <w:pStyle w:val="Header"/>
              <w:tabs>
                <w:tab w:val="clear" w:pos="4320"/>
                <w:tab w:val="clear" w:pos="8640"/>
              </w:tabs>
              <w:jc w:val="both"/>
            </w:pPr>
            <w:r>
              <w:t xml:space="preserve">S.B. 335 </w:t>
            </w:r>
            <w:r>
              <w:t>removes the requirement for</w:t>
            </w:r>
            <w:r>
              <w:t xml:space="preserve"> </w:t>
            </w:r>
            <w:r>
              <w:t xml:space="preserve">a </w:t>
            </w:r>
            <w:r>
              <w:t>chief appraiser</w:t>
            </w:r>
            <w:r>
              <w:t>,</w:t>
            </w:r>
            <w:r>
              <w:t xml:space="preserve"> </w:t>
            </w:r>
            <w:r>
              <w:t>in appraising land</w:t>
            </w:r>
            <w:r>
              <w:t xml:space="preserve"> or a housing unit</w:t>
            </w:r>
            <w:r>
              <w:t>, as applicable,</w:t>
            </w:r>
            <w:r>
              <w:t xml:space="preserve"> that is leased by a community land trust to a family meeting the</w:t>
            </w:r>
            <w:r>
              <w:t xml:space="preserve"> applicable income</w:t>
            </w:r>
            <w:r>
              <w:noBreakHyphen/>
            </w:r>
            <w:r>
              <w:t xml:space="preserve">eligibility </w:t>
            </w:r>
            <w:r>
              <w:t xml:space="preserve">standards </w:t>
            </w:r>
            <w:r>
              <w:t>under regulations or restrictions limiting the amount that the family may be re</w:t>
            </w:r>
            <w:r>
              <w:t>quired to pay for the rental or lease of the property</w:t>
            </w:r>
            <w:r>
              <w:t>,</w:t>
            </w:r>
            <w:r>
              <w:t xml:space="preserve"> </w:t>
            </w:r>
            <w:r>
              <w:t xml:space="preserve">to </w:t>
            </w:r>
            <w:r>
              <w:t>tak</w:t>
            </w:r>
            <w:r>
              <w:t>e</w:t>
            </w:r>
            <w:r>
              <w:t xml:space="preserve"> into account the extent to which that use and limitation reduce the property's market value</w:t>
            </w:r>
            <w:r>
              <w:t>.</w:t>
            </w:r>
            <w:r>
              <w:t xml:space="preserve"> </w:t>
            </w:r>
            <w:r>
              <w:t xml:space="preserve">The bill requires the chief appraiser </w:t>
            </w:r>
            <w:r>
              <w:t>to us</w:t>
            </w:r>
            <w:r>
              <w:t>e</w:t>
            </w:r>
            <w:r>
              <w:t xml:space="preserve"> </w:t>
            </w:r>
            <w:r>
              <w:t>the income method of appraisal</w:t>
            </w:r>
            <w:r>
              <w:t xml:space="preserve"> </w:t>
            </w:r>
            <w:r>
              <w:t xml:space="preserve">instead </w:t>
            </w:r>
            <w:r>
              <w:t>to determine the</w:t>
            </w:r>
            <w:r>
              <w:t xml:space="preserve"> </w:t>
            </w:r>
            <w:r>
              <w:t xml:space="preserve">property's </w:t>
            </w:r>
            <w:r>
              <w:t>appraised value, regardless of whether the chief appraiser considers that method to be the most appropriate method</w:t>
            </w:r>
            <w:r>
              <w:t xml:space="preserve"> of appraising the property, </w:t>
            </w:r>
            <w:r>
              <w:t xml:space="preserve">and </w:t>
            </w:r>
            <w:r>
              <w:t>requires the chief appraiser to:</w:t>
            </w:r>
          </w:p>
          <w:p w:rsidR="000F3CA3" w:rsidRDefault="00E11D07" w:rsidP="003F139D">
            <w:pPr>
              <w:pStyle w:val="Header"/>
              <w:numPr>
                <w:ilvl w:val="0"/>
                <w:numId w:val="1"/>
              </w:numPr>
              <w:tabs>
                <w:tab w:val="clear" w:pos="4320"/>
                <w:tab w:val="clear" w:pos="8640"/>
              </w:tabs>
              <w:spacing w:before="120" w:after="120"/>
              <w:jc w:val="both"/>
            </w:pPr>
            <w:r>
              <w:t>take</w:t>
            </w:r>
            <w:r>
              <w:t xml:space="preserve"> into account the uses and limitations applicable to the property for purposes of computing the actual rental income from the property and projecting future rental income; and </w:t>
            </w:r>
          </w:p>
          <w:p w:rsidR="000F3CA3" w:rsidRDefault="00E11D07" w:rsidP="003F139D">
            <w:pPr>
              <w:pStyle w:val="Header"/>
              <w:numPr>
                <w:ilvl w:val="0"/>
                <w:numId w:val="1"/>
              </w:numPr>
              <w:tabs>
                <w:tab w:val="clear" w:pos="4320"/>
                <w:tab w:val="clear" w:pos="8640"/>
              </w:tabs>
              <w:spacing w:before="120" w:after="120"/>
              <w:jc w:val="both"/>
            </w:pPr>
            <w:r>
              <w:t>use the same capitalization rate that the chief appraiser uses to appraise o</w:t>
            </w:r>
            <w:r>
              <w:t>t</w:t>
            </w:r>
            <w:r>
              <w:t>he</w:t>
            </w:r>
            <w:r>
              <w:t>r rent</w:t>
            </w:r>
            <w:r>
              <w:noBreakHyphen/>
            </w:r>
            <w:r>
              <w:t xml:space="preserve">restricted properties. </w:t>
            </w:r>
          </w:p>
          <w:p w:rsidR="000F3CA3" w:rsidRDefault="00E11D07" w:rsidP="003F139D">
            <w:pPr>
              <w:pStyle w:val="Header"/>
              <w:tabs>
                <w:tab w:val="clear" w:pos="4320"/>
                <w:tab w:val="clear" w:pos="8640"/>
              </w:tabs>
              <w:jc w:val="both"/>
            </w:pPr>
          </w:p>
          <w:p w:rsidR="00B75139" w:rsidRDefault="00E11D07" w:rsidP="003F139D">
            <w:pPr>
              <w:pStyle w:val="Header"/>
              <w:tabs>
                <w:tab w:val="clear" w:pos="4320"/>
                <w:tab w:val="clear" w:pos="8640"/>
              </w:tabs>
              <w:jc w:val="both"/>
            </w:pPr>
            <w:r>
              <w:t>S.B. 335</w:t>
            </w:r>
            <w:r>
              <w:t xml:space="preserve"> prohibits </w:t>
            </w:r>
            <w:r>
              <w:t>a</w:t>
            </w:r>
            <w:r>
              <w:t xml:space="preserve"> chief appraiser </w:t>
            </w:r>
            <w:r>
              <w:t xml:space="preserve">from appraising </w:t>
            </w:r>
            <w:r>
              <w:t>a housing unit</w:t>
            </w:r>
            <w:r w:rsidRPr="001D09AD">
              <w:t xml:space="preserve"> in a tax year for an amount that exceeds the price for which the housing unit may be sold under </w:t>
            </w:r>
            <w:r>
              <w:t>an</w:t>
            </w:r>
            <w:r w:rsidRPr="001D09AD">
              <w:t xml:space="preserve"> eligible land use restriction in that tax year</w:t>
            </w:r>
            <w:r>
              <w:t xml:space="preserve"> </w:t>
            </w:r>
            <w:r>
              <w:t>if the fol</w:t>
            </w:r>
            <w:r>
              <w:t>lowing criteria apply:</w:t>
            </w:r>
          </w:p>
          <w:p w:rsidR="00B75139" w:rsidRDefault="00E11D07" w:rsidP="00A723CA">
            <w:pPr>
              <w:pStyle w:val="Header"/>
              <w:numPr>
                <w:ilvl w:val="0"/>
                <w:numId w:val="4"/>
              </w:numPr>
              <w:tabs>
                <w:tab w:val="clear" w:pos="4320"/>
                <w:tab w:val="clear" w:pos="8640"/>
              </w:tabs>
              <w:spacing w:before="120" w:after="120"/>
              <w:jc w:val="both"/>
            </w:pPr>
            <w:r>
              <w:t xml:space="preserve">the sale of the housing unit is subject to the eligible land use restriction; </w:t>
            </w:r>
          </w:p>
          <w:p w:rsidR="00B75139" w:rsidRDefault="00E11D07" w:rsidP="00A723CA">
            <w:pPr>
              <w:pStyle w:val="Header"/>
              <w:numPr>
                <w:ilvl w:val="0"/>
                <w:numId w:val="4"/>
              </w:numPr>
              <w:tabs>
                <w:tab w:val="clear" w:pos="4320"/>
                <w:tab w:val="clear" w:pos="8640"/>
              </w:tabs>
              <w:spacing w:before="120" w:after="120"/>
              <w:jc w:val="both"/>
            </w:pPr>
            <w:r>
              <w:t xml:space="preserve">the owner of the housing unit </w:t>
            </w:r>
            <w:r w:rsidRPr="001D09AD">
              <w:t>or a predecessor of the owner acquired</w:t>
            </w:r>
            <w:r>
              <w:t xml:space="preserve"> the housing unit</w:t>
            </w:r>
            <w:r w:rsidRPr="001D09AD">
              <w:t xml:space="preserve"> from a community land trust</w:t>
            </w:r>
            <w:r>
              <w:t>;</w:t>
            </w:r>
            <w:r w:rsidRPr="001D09AD">
              <w:t xml:space="preserve"> and </w:t>
            </w:r>
          </w:p>
          <w:p w:rsidR="00B75139" w:rsidRDefault="00E11D07" w:rsidP="00A723CA">
            <w:pPr>
              <w:pStyle w:val="Header"/>
              <w:numPr>
                <w:ilvl w:val="0"/>
                <w:numId w:val="4"/>
              </w:numPr>
              <w:tabs>
                <w:tab w:val="clear" w:pos="4320"/>
                <w:tab w:val="clear" w:pos="8640"/>
              </w:tabs>
              <w:spacing w:before="120" w:after="120"/>
              <w:jc w:val="both"/>
            </w:pPr>
            <w:r>
              <w:t>the housing unit</w:t>
            </w:r>
            <w:r w:rsidRPr="001D09AD">
              <w:t xml:space="preserve"> </w:t>
            </w:r>
            <w:r w:rsidRPr="001D09AD">
              <w:t>is located on lan</w:t>
            </w:r>
            <w:r w:rsidRPr="001D09AD">
              <w:t xml:space="preserve">d owned by the trust and leased by the owner of the housing unit. </w:t>
            </w:r>
          </w:p>
          <w:p w:rsidR="008108F5" w:rsidRDefault="00E11D07" w:rsidP="003F139D">
            <w:pPr>
              <w:pStyle w:val="Header"/>
              <w:tabs>
                <w:tab w:val="clear" w:pos="4320"/>
                <w:tab w:val="clear" w:pos="8640"/>
              </w:tabs>
              <w:jc w:val="both"/>
            </w:pPr>
            <w:r w:rsidRPr="001D09AD">
              <w:t>The bill defines "eligible land use restriction" as an agreement</w:t>
            </w:r>
            <w:r>
              <w:t>, deed, restriction, or</w:t>
            </w:r>
            <w:r w:rsidRPr="001D09AD">
              <w:t xml:space="preserve"> restrictive covenant applicable to </w:t>
            </w:r>
            <w:r>
              <w:t>the</w:t>
            </w:r>
            <w:r w:rsidRPr="001D09AD">
              <w:t xml:space="preserve"> housing unit that</w:t>
            </w:r>
            <w:r>
              <w:t>:</w:t>
            </w:r>
            <w:r w:rsidRPr="001D09AD">
              <w:t xml:space="preserve"> </w:t>
            </w:r>
          </w:p>
          <w:p w:rsidR="008108F5" w:rsidRDefault="00E11D07" w:rsidP="003F139D">
            <w:pPr>
              <w:pStyle w:val="Header"/>
              <w:numPr>
                <w:ilvl w:val="0"/>
                <w:numId w:val="2"/>
              </w:numPr>
              <w:tabs>
                <w:tab w:val="clear" w:pos="4320"/>
                <w:tab w:val="clear" w:pos="8640"/>
              </w:tabs>
              <w:spacing w:before="120" w:after="120"/>
              <w:jc w:val="both"/>
            </w:pPr>
            <w:r w:rsidRPr="001D09AD">
              <w:t>is recorded in the real property records</w:t>
            </w:r>
            <w:r>
              <w:t>;</w:t>
            </w:r>
            <w:r w:rsidRPr="001D09AD">
              <w:t xml:space="preserve"> </w:t>
            </w:r>
          </w:p>
          <w:p w:rsidR="008108F5" w:rsidRDefault="00E11D07" w:rsidP="003F139D">
            <w:pPr>
              <w:pStyle w:val="Header"/>
              <w:numPr>
                <w:ilvl w:val="0"/>
                <w:numId w:val="2"/>
              </w:numPr>
              <w:tabs>
                <w:tab w:val="clear" w:pos="4320"/>
                <w:tab w:val="clear" w:pos="8640"/>
              </w:tabs>
              <w:spacing w:before="120" w:after="120"/>
              <w:jc w:val="both"/>
            </w:pPr>
            <w:r w:rsidRPr="001D09AD">
              <w:t>has a term of at least 40 years</w:t>
            </w:r>
            <w:r>
              <w:t>;</w:t>
            </w:r>
            <w:r w:rsidRPr="001D09AD">
              <w:t xml:space="preserve"> </w:t>
            </w:r>
          </w:p>
          <w:p w:rsidR="008108F5" w:rsidRDefault="00E11D07" w:rsidP="003F139D">
            <w:pPr>
              <w:pStyle w:val="Header"/>
              <w:numPr>
                <w:ilvl w:val="0"/>
                <w:numId w:val="2"/>
              </w:numPr>
              <w:tabs>
                <w:tab w:val="clear" w:pos="4320"/>
                <w:tab w:val="clear" w:pos="8640"/>
              </w:tabs>
              <w:spacing w:before="120" w:after="120"/>
              <w:jc w:val="both"/>
            </w:pPr>
            <w:r w:rsidRPr="001D09AD">
              <w:t>restricts the price for which the housing unit may</w:t>
            </w:r>
            <w:r>
              <w:t xml:space="preserve"> </w:t>
            </w:r>
            <w:r w:rsidRPr="001D09AD">
              <w:t xml:space="preserve">be sold to a price that is </w:t>
            </w:r>
            <w:r>
              <w:t>equal to or</w:t>
            </w:r>
            <w:r w:rsidRPr="001D09AD">
              <w:t xml:space="preserve"> less than the </w:t>
            </w:r>
            <w:r>
              <w:t xml:space="preserve">unit's </w:t>
            </w:r>
            <w:r w:rsidRPr="001D09AD">
              <w:t>market value</w:t>
            </w:r>
            <w:r>
              <w:t>;</w:t>
            </w:r>
            <w:r w:rsidRPr="001D09AD">
              <w:t xml:space="preserve"> and </w:t>
            </w:r>
          </w:p>
          <w:p w:rsidR="001D09AD" w:rsidRDefault="00E11D07" w:rsidP="003F139D">
            <w:pPr>
              <w:pStyle w:val="Header"/>
              <w:numPr>
                <w:ilvl w:val="0"/>
                <w:numId w:val="2"/>
              </w:numPr>
              <w:tabs>
                <w:tab w:val="clear" w:pos="4320"/>
                <w:tab w:val="clear" w:pos="8640"/>
              </w:tabs>
              <w:spacing w:before="120" w:after="120"/>
              <w:jc w:val="both"/>
            </w:pPr>
            <w:r w:rsidRPr="001D09AD">
              <w:t xml:space="preserve">restricts the sale of the housing unit to a family meeting the </w:t>
            </w:r>
            <w:r>
              <w:t xml:space="preserve">applicable </w:t>
            </w:r>
            <w:r w:rsidRPr="001D09AD">
              <w:t>income-eligibilit</w:t>
            </w:r>
            <w:r w:rsidRPr="001D09AD">
              <w:t xml:space="preserve">y standards </w:t>
            </w:r>
            <w:r>
              <w:t>for</w:t>
            </w:r>
            <w:r w:rsidRPr="001D09AD">
              <w:t xml:space="preserve"> purchasers or lessees of community land trust housing units</w:t>
            </w:r>
            <w:r>
              <w:t>.</w:t>
            </w:r>
          </w:p>
          <w:p w:rsidR="008E108C" w:rsidRDefault="00E11D07" w:rsidP="003F139D">
            <w:pPr>
              <w:pStyle w:val="Header"/>
              <w:tabs>
                <w:tab w:val="clear" w:pos="4320"/>
                <w:tab w:val="clear" w:pos="8640"/>
              </w:tabs>
              <w:jc w:val="both"/>
            </w:pPr>
          </w:p>
          <w:p w:rsidR="00F65315" w:rsidRDefault="00E11D07" w:rsidP="003F139D">
            <w:pPr>
              <w:pStyle w:val="Header"/>
              <w:tabs>
                <w:tab w:val="clear" w:pos="4320"/>
                <w:tab w:val="clear" w:pos="8640"/>
              </w:tabs>
              <w:jc w:val="both"/>
            </w:pPr>
            <w:r>
              <w:t>S.B. 335</w:t>
            </w:r>
            <w:r>
              <w:t xml:space="preserve"> makes </w:t>
            </w:r>
            <w:r>
              <w:t xml:space="preserve">a provision </w:t>
            </w:r>
            <w:r>
              <w:t>providing for the</w:t>
            </w:r>
            <w:r>
              <w:t xml:space="preserve"> prorat</w:t>
            </w:r>
            <w:r>
              <w:t>ion</w:t>
            </w:r>
            <w:r>
              <w:t xml:space="preserve"> </w:t>
            </w:r>
            <w:r>
              <w:t xml:space="preserve">of property </w:t>
            </w:r>
            <w:r>
              <w:t xml:space="preserve">taxes for certain properties because </w:t>
            </w:r>
            <w:r>
              <w:t xml:space="preserve">of the loss of a tax </w:t>
            </w:r>
            <w:r>
              <w:t xml:space="preserve">exemption </w:t>
            </w:r>
            <w:r>
              <w:t xml:space="preserve">inapplicable to an exemption for land </w:t>
            </w:r>
            <w:r>
              <w:t>received by an organization under</w:t>
            </w:r>
            <w:r>
              <w:t xml:space="preserve"> certain provisions relating to</w:t>
            </w:r>
            <w:r>
              <w:t xml:space="preserve"> the construction, improvement, or rehabilitation of property for </w:t>
            </w:r>
            <w:r>
              <w:t>use as low-</w:t>
            </w:r>
            <w:r>
              <w:t>income</w:t>
            </w:r>
            <w:r>
              <w:t xml:space="preserve"> or </w:t>
            </w:r>
            <w:r>
              <w:t>low-</w:t>
            </w:r>
            <w:r>
              <w:t>income</w:t>
            </w:r>
            <w:r>
              <w:t xml:space="preserve"> to moderate-income housing, as applicable, </w:t>
            </w:r>
            <w:r>
              <w:t>that terminated during the year because of the sale</w:t>
            </w:r>
            <w:r>
              <w:t xml:space="preserve"> by the organization of a housing unit located on the land if</w:t>
            </w:r>
            <w:r>
              <w:t>:</w:t>
            </w:r>
            <w:r>
              <w:t xml:space="preserve"> </w:t>
            </w:r>
          </w:p>
          <w:p w:rsidR="00F65315" w:rsidRDefault="00E11D07" w:rsidP="003F139D">
            <w:pPr>
              <w:pStyle w:val="Header"/>
              <w:numPr>
                <w:ilvl w:val="0"/>
                <w:numId w:val="3"/>
              </w:numPr>
              <w:tabs>
                <w:tab w:val="clear" w:pos="4320"/>
                <w:tab w:val="clear" w:pos="8640"/>
              </w:tabs>
              <w:spacing w:before="120" w:after="120"/>
              <w:jc w:val="both"/>
            </w:pPr>
            <w:r>
              <w:t>the unit is sold to a family meeting the</w:t>
            </w:r>
            <w:r>
              <w:t xml:space="preserve"> applicable</w:t>
            </w:r>
            <w:r>
              <w:t xml:space="preserve"> income-eligibility standards f</w:t>
            </w:r>
            <w:r w:rsidRPr="00F65315">
              <w:t>or purchasers or lessees of community land trust housing units</w:t>
            </w:r>
            <w:r>
              <w:t>;</w:t>
            </w:r>
            <w:r>
              <w:t xml:space="preserve"> </w:t>
            </w:r>
          </w:p>
          <w:p w:rsidR="00F65315" w:rsidRDefault="00E11D07" w:rsidP="003F139D">
            <w:pPr>
              <w:pStyle w:val="Header"/>
              <w:numPr>
                <w:ilvl w:val="0"/>
                <w:numId w:val="3"/>
              </w:numPr>
              <w:tabs>
                <w:tab w:val="clear" w:pos="4320"/>
                <w:tab w:val="clear" w:pos="8640"/>
              </w:tabs>
              <w:spacing w:before="120" w:after="120"/>
              <w:jc w:val="both"/>
            </w:pPr>
            <w:r>
              <w:t>the organization retains title to the land on</w:t>
            </w:r>
            <w:r>
              <w:t xml:space="preserve"> which the unit is</w:t>
            </w:r>
            <w:r>
              <w:t xml:space="preserve"> located;</w:t>
            </w:r>
            <w:r>
              <w:t xml:space="preserve"> and </w:t>
            </w:r>
          </w:p>
          <w:p w:rsidR="003F1B8C" w:rsidRDefault="00E11D07" w:rsidP="003F139D">
            <w:pPr>
              <w:pStyle w:val="Header"/>
              <w:numPr>
                <w:ilvl w:val="0"/>
                <w:numId w:val="3"/>
              </w:numPr>
              <w:tabs>
                <w:tab w:val="clear" w:pos="4320"/>
                <w:tab w:val="clear" w:pos="8640"/>
              </w:tabs>
              <w:spacing w:before="120" w:after="120"/>
              <w:jc w:val="both"/>
            </w:pPr>
            <w:r>
              <w:t>the organization is designated a community land trust by the governing body of a municipality or county</w:t>
            </w:r>
            <w:r>
              <w:t xml:space="preserve"> before the date on which the unit is sold</w:t>
            </w:r>
            <w:r>
              <w:t>.</w:t>
            </w:r>
          </w:p>
          <w:p w:rsidR="008423E4" w:rsidRPr="00835628" w:rsidRDefault="00E11D07" w:rsidP="003F139D">
            <w:pPr>
              <w:rPr>
                <w:b/>
              </w:rPr>
            </w:pPr>
          </w:p>
        </w:tc>
      </w:tr>
      <w:tr w:rsidR="0079057A" w:rsidTr="00345119">
        <w:tc>
          <w:tcPr>
            <w:tcW w:w="9576" w:type="dxa"/>
          </w:tcPr>
          <w:p w:rsidR="008423E4" w:rsidRPr="00A8133F" w:rsidRDefault="00E11D07" w:rsidP="003F139D">
            <w:pPr>
              <w:rPr>
                <w:b/>
              </w:rPr>
            </w:pPr>
            <w:r w:rsidRPr="009C1E9A">
              <w:rPr>
                <w:b/>
                <w:u w:val="single"/>
              </w:rPr>
              <w:t>EFFECTIVE DATE</w:t>
            </w:r>
            <w:r>
              <w:rPr>
                <w:b/>
              </w:rPr>
              <w:t xml:space="preserve"> </w:t>
            </w:r>
          </w:p>
          <w:p w:rsidR="008423E4" w:rsidRDefault="00E11D07" w:rsidP="003F139D"/>
          <w:p w:rsidR="008423E4" w:rsidRPr="003624F2" w:rsidRDefault="00E11D07" w:rsidP="003F139D">
            <w:pPr>
              <w:pStyle w:val="Header"/>
              <w:tabs>
                <w:tab w:val="clear" w:pos="4320"/>
                <w:tab w:val="clear" w:pos="8640"/>
              </w:tabs>
              <w:jc w:val="both"/>
            </w:pPr>
            <w:r>
              <w:t>September 1, 2019.</w:t>
            </w:r>
          </w:p>
          <w:p w:rsidR="008423E4" w:rsidRPr="00233FDB" w:rsidRDefault="00E11D07" w:rsidP="003F139D">
            <w:pPr>
              <w:rPr>
                <w:b/>
              </w:rPr>
            </w:pPr>
          </w:p>
        </w:tc>
      </w:tr>
    </w:tbl>
    <w:p w:rsidR="008423E4" w:rsidRPr="00BE0E75" w:rsidRDefault="00E11D07" w:rsidP="008423E4">
      <w:pPr>
        <w:spacing w:line="480" w:lineRule="auto"/>
        <w:jc w:val="both"/>
        <w:rPr>
          <w:rFonts w:ascii="Arial" w:hAnsi="Arial"/>
          <w:sz w:val="16"/>
          <w:szCs w:val="16"/>
        </w:rPr>
      </w:pPr>
    </w:p>
    <w:p w:rsidR="004108C3" w:rsidRPr="008423E4" w:rsidRDefault="00E11D0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1D07">
      <w:r>
        <w:separator/>
      </w:r>
    </w:p>
  </w:endnote>
  <w:endnote w:type="continuationSeparator" w:id="0">
    <w:p w:rsidR="00000000" w:rsidRDefault="00E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057A" w:rsidTr="009C1E9A">
      <w:trPr>
        <w:cantSplit/>
      </w:trPr>
      <w:tc>
        <w:tcPr>
          <w:tcW w:w="0" w:type="pct"/>
        </w:tcPr>
        <w:p w:rsidR="00137D90" w:rsidRDefault="00E11D07" w:rsidP="009C1E9A">
          <w:pPr>
            <w:pStyle w:val="Footer"/>
            <w:tabs>
              <w:tab w:val="clear" w:pos="8640"/>
              <w:tab w:val="right" w:pos="9360"/>
            </w:tabs>
          </w:pPr>
        </w:p>
      </w:tc>
      <w:tc>
        <w:tcPr>
          <w:tcW w:w="2395" w:type="pct"/>
        </w:tcPr>
        <w:p w:rsidR="00137D90" w:rsidRDefault="00E11D07" w:rsidP="009C1E9A">
          <w:pPr>
            <w:pStyle w:val="Footer"/>
            <w:tabs>
              <w:tab w:val="clear" w:pos="8640"/>
              <w:tab w:val="right" w:pos="9360"/>
            </w:tabs>
          </w:pPr>
        </w:p>
        <w:p w:rsidR="001A4310" w:rsidRDefault="00E11D07" w:rsidP="009C1E9A">
          <w:pPr>
            <w:pStyle w:val="Footer"/>
            <w:tabs>
              <w:tab w:val="clear" w:pos="8640"/>
              <w:tab w:val="right" w:pos="9360"/>
            </w:tabs>
          </w:pPr>
        </w:p>
        <w:p w:rsidR="00137D90" w:rsidRDefault="00E11D07" w:rsidP="009C1E9A">
          <w:pPr>
            <w:pStyle w:val="Footer"/>
            <w:tabs>
              <w:tab w:val="clear" w:pos="8640"/>
              <w:tab w:val="right" w:pos="9360"/>
            </w:tabs>
          </w:pPr>
        </w:p>
      </w:tc>
      <w:tc>
        <w:tcPr>
          <w:tcW w:w="2453" w:type="pct"/>
        </w:tcPr>
        <w:p w:rsidR="00137D90" w:rsidRDefault="00E11D07" w:rsidP="009C1E9A">
          <w:pPr>
            <w:pStyle w:val="Footer"/>
            <w:tabs>
              <w:tab w:val="clear" w:pos="8640"/>
              <w:tab w:val="right" w:pos="9360"/>
            </w:tabs>
            <w:jc w:val="right"/>
          </w:pPr>
        </w:p>
      </w:tc>
    </w:tr>
    <w:tr w:rsidR="0079057A" w:rsidTr="009C1E9A">
      <w:trPr>
        <w:cantSplit/>
      </w:trPr>
      <w:tc>
        <w:tcPr>
          <w:tcW w:w="0" w:type="pct"/>
        </w:tcPr>
        <w:p w:rsidR="00EC379B" w:rsidRDefault="00E11D07" w:rsidP="009C1E9A">
          <w:pPr>
            <w:pStyle w:val="Footer"/>
            <w:tabs>
              <w:tab w:val="clear" w:pos="8640"/>
              <w:tab w:val="right" w:pos="9360"/>
            </w:tabs>
          </w:pPr>
        </w:p>
      </w:tc>
      <w:tc>
        <w:tcPr>
          <w:tcW w:w="2395" w:type="pct"/>
        </w:tcPr>
        <w:p w:rsidR="00EC379B" w:rsidRPr="009C1E9A" w:rsidRDefault="00E11D07" w:rsidP="009C1E9A">
          <w:pPr>
            <w:pStyle w:val="Footer"/>
            <w:tabs>
              <w:tab w:val="clear" w:pos="8640"/>
              <w:tab w:val="right" w:pos="9360"/>
            </w:tabs>
            <w:rPr>
              <w:rFonts w:ascii="Shruti" w:hAnsi="Shruti"/>
              <w:sz w:val="22"/>
            </w:rPr>
          </w:pPr>
          <w:r>
            <w:rPr>
              <w:rFonts w:ascii="Shruti" w:hAnsi="Shruti"/>
              <w:sz w:val="22"/>
            </w:rPr>
            <w:t>86R 31918</w:t>
          </w:r>
        </w:p>
      </w:tc>
      <w:tc>
        <w:tcPr>
          <w:tcW w:w="2453" w:type="pct"/>
        </w:tcPr>
        <w:p w:rsidR="00EC379B" w:rsidRDefault="00E11D07" w:rsidP="009C1E9A">
          <w:pPr>
            <w:pStyle w:val="Footer"/>
            <w:tabs>
              <w:tab w:val="clear" w:pos="8640"/>
              <w:tab w:val="right" w:pos="9360"/>
            </w:tabs>
            <w:jc w:val="right"/>
          </w:pPr>
          <w:r>
            <w:fldChar w:fldCharType="begin"/>
          </w:r>
          <w:r>
            <w:instrText xml:space="preserve"> DOCPROPERTY  OTID  \* MERGEFORMAT </w:instrText>
          </w:r>
          <w:r>
            <w:fldChar w:fldCharType="separate"/>
          </w:r>
          <w:r>
            <w:t>19.126.530</w:t>
          </w:r>
          <w:r>
            <w:fldChar w:fldCharType="end"/>
          </w:r>
        </w:p>
      </w:tc>
    </w:tr>
    <w:tr w:rsidR="0079057A" w:rsidTr="009C1E9A">
      <w:trPr>
        <w:cantSplit/>
      </w:trPr>
      <w:tc>
        <w:tcPr>
          <w:tcW w:w="0" w:type="pct"/>
        </w:tcPr>
        <w:p w:rsidR="00EC379B" w:rsidRDefault="00E11D07" w:rsidP="009C1E9A">
          <w:pPr>
            <w:pStyle w:val="Footer"/>
            <w:tabs>
              <w:tab w:val="clear" w:pos="4320"/>
              <w:tab w:val="clear" w:pos="8640"/>
              <w:tab w:val="left" w:pos="2865"/>
            </w:tabs>
          </w:pPr>
        </w:p>
      </w:tc>
      <w:tc>
        <w:tcPr>
          <w:tcW w:w="2395" w:type="pct"/>
        </w:tcPr>
        <w:p w:rsidR="00EC379B" w:rsidRPr="009C1E9A" w:rsidRDefault="00E11D07" w:rsidP="009C1E9A">
          <w:pPr>
            <w:pStyle w:val="Footer"/>
            <w:tabs>
              <w:tab w:val="clear" w:pos="4320"/>
              <w:tab w:val="clear" w:pos="8640"/>
              <w:tab w:val="left" w:pos="2865"/>
            </w:tabs>
            <w:rPr>
              <w:rFonts w:ascii="Shruti" w:hAnsi="Shruti"/>
              <w:sz w:val="22"/>
            </w:rPr>
          </w:pPr>
        </w:p>
      </w:tc>
      <w:tc>
        <w:tcPr>
          <w:tcW w:w="2453" w:type="pct"/>
        </w:tcPr>
        <w:p w:rsidR="00EC379B" w:rsidRDefault="00E11D07" w:rsidP="006D504F">
          <w:pPr>
            <w:pStyle w:val="Footer"/>
            <w:rPr>
              <w:rStyle w:val="PageNumber"/>
            </w:rPr>
          </w:pPr>
        </w:p>
        <w:p w:rsidR="00EC379B" w:rsidRDefault="00E11D07" w:rsidP="009C1E9A">
          <w:pPr>
            <w:pStyle w:val="Footer"/>
            <w:tabs>
              <w:tab w:val="clear" w:pos="8640"/>
              <w:tab w:val="right" w:pos="9360"/>
            </w:tabs>
            <w:jc w:val="right"/>
          </w:pPr>
        </w:p>
      </w:tc>
    </w:tr>
    <w:tr w:rsidR="0079057A" w:rsidTr="009C1E9A">
      <w:trPr>
        <w:cantSplit/>
        <w:trHeight w:val="323"/>
      </w:trPr>
      <w:tc>
        <w:tcPr>
          <w:tcW w:w="0" w:type="pct"/>
          <w:gridSpan w:val="3"/>
        </w:tcPr>
        <w:p w:rsidR="00EC379B" w:rsidRDefault="00E11D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11D07" w:rsidP="009C1E9A">
          <w:pPr>
            <w:pStyle w:val="Footer"/>
            <w:tabs>
              <w:tab w:val="clear" w:pos="8640"/>
              <w:tab w:val="right" w:pos="9360"/>
            </w:tabs>
            <w:jc w:val="center"/>
          </w:pPr>
        </w:p>
      </w:tc>
    </w:tr>
  </w:tbl>
  <w:p w:rsidR="00EC379B" w:rsidRPr="00FF6F72" w:rsidRDefault="00E11D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1D07">
      <w:r>
        <w:separator/>
      </w:r>
    </w:p>
  </w:footnote>
  <w:footnote w:type="continuationSeparator" w:id="0">
    <w:p w:rsidR="00000000" w:rsidRDefault="00E1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1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1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ACE"/>
    <w:multiLevelType w:val="hybridMultilevel"/>
    <w:tmpl w:val="FAC06294"/>
    <w:lvl w:ilvl="0" w:tplc="56045072">
      <w:start w:val="1"/>
      <w:numFmt w:val="bullet"/>
      <w:lvlText w:val=""/>
      <w:lvlJc w:val="left"/>
      <w:pPr>
        <w:tabs>
          <w:tab w:val="num" w:pos="720"/>
        </w:tabs>
        <w:ind w:left="720" w:hanging="360"/>
      </w:pPr>
      <w:rPr>
        <w:rFonts w:ascii="Symbol" w:hAnsi="Symbol" w:hint="default"/>
      </w:rPr>
    </w:lvl>
    <w:lvl w:ilvl="1" w:tplc="9632A814" w:tentative="1">
      <w:start w:val="1"/>
      <w:numFmt w:val="bullet"/>
      <w:lvlText w:val="o"/>
      <w:lvlJc w:val="left"/>
      <w:pPr>
        <w:ind w:left="1440" w:hanging="360"/>
      </w:pPr>
      <w:rPr>
        <w:rFonts w:ascii="Courier New" w:hAnsi="Courier New" w:cs="Courier New" w:hint="default"/>
      </w:rPr>
    </w:lvl>
    <w:lvl w:ilvl="2" w:tplc="816461C2" w:tentative="1">
      <w:start w:val="1"/>
      <w:numFmt w:val="bullet"/>
      <w:lvlText w:val=""/>
      <w:lvlJc w:val="left"/>
      <w:pPr>
        <w:ind w:left="2160" w:hanging="360"/>
      </w:pPr>
      <w:rPr>
        <w:rFonts w:ascii="Wingdings" w:hAnsi="Wingdings" w:hint="default"/>
      </w:rPr>
    </w:lvl>
    <w:lvl w:ilvl="3" w:tplc="DD606FD4" w:tentative="1">
      <w:start w:val="1"/>
      <w:numFmt w:val="bullet"/>
      <w:lvlText w:val=""/>
      <w:lvlJc w:val="left"/>
      <w:pPr>
        <w:ind w:left="2880" w:hanging="360"/>
      </w:pPr>
      <w:rPr>
        <w:rFonts w:ascii="Symbol" w:hAnsi="Symbol" w:hint="default"/>
      </w:rPr>
    </w:lvl>
    <w:lvl w:ilvl="4" w:tplc="9F8A1172" w:tentative="1">
      <w:start w:val="1"/>
      <w:numFmt w:val="bullet"/>
      <w:lvlText w:val="o"/>
      <w:lvlJc w:val="left"/>
      <w:pPr>
        <w:ind w:left="3600" w:hanging="360"/>
      </w:pPr>
      <w:rPr>
        <w:rFonts w:ascii="Courier New" w:hAnsi="Courier New" w:cs="Courier New" w:hint="default"/>
      </w:rPr>
    </w:lvl>
    <w:lvl w:ilvl="5" w:tplc="BD969540" w:tentative="1">
      <w:start w:val="1"/>
      <w:numFmt w:val="bullet"/>
      <w:lvlText w:val=""/>
      <w:lvlJc w:val="left"/>
      <w:pPr>
        <w:ind w:left="4320" w:hanging="360"/>
      </w:pPr>
      <w:rPr>
        <w:rFonts w:ascii="Wingdings" w:hAnsi="Wingdings" w:hint="default"/>
      </w:rPr>
    </w:lvl>
    <w:lvl w:ilvl="6" w:tplc="6122C192" w:tentative="1">
      <w:start w:val="1"/>
      <w:numFmt w:val="bullet"/>
      <w:lvlText w:val=""/>
      <w:lvlJc w:val="left"/>
      <w:pPr>
        <w:ind w:left="5040" w:hanging="360"/>
      </w:pPr>
      <w:rPr>
        <w:rFonts w:ascii="Symbol" w:hAnsi="Symbol" w:hint="default"/>
      </w:rPr>
    </w:lvl>
    <w:lvl w:ilvl="7" w:tplc="ACC0C8CA" w:tentative="1">
      <w:start w:val="1"/>
      <w:numFmt w:val="bullet"/>
      <w:lvlText w:val="o"/>
      <w:lvlJc w:val="left"/>
      <w:pPr>
        <w:ind w:left="5760" w:hanging="360"/>
      </w:pPr>
      <w:rPr>
        <w:rFonts w:ascii="Courier New" w:hAnsi="Courier New" w:cs="Courier New" w:hint="default"/>
      </w:rPr>
    </w:lvl>
    <w:lvl w:ilvl="8" w:tplc="79E4B47C" w:tentative="1">
      <w:start w:val="1"/>
      <w:numFmt w:val="bullet"/>
      <w:lvlText w:val=""/>
      <w:lvlJc w:val="left"/>
      <w:pPr>
        <w:ind w:left="6480" w:hanging="360"/>
      </w:pPr>
      <w:rPr>
        <w:rFonts w:ascii="Wingdings" w:hAnsi="Wingdings" w:hint="default"/>
      </w:rPr>
    </w:lvl>
  </w:abstractNum>
  <w:abstractNum w:abstractNumId="1" w15:restartNumberingAfterBreak="0">
    <w:nsid w:val="2FDD5E1E"/>
    <w:multiLevelType w:val="hybridMultilevel"/>
    <w:tmpl w:val="F79A7D0E"/>
    <w:lvl w:ilvl="0" w:tplc="B23AD2A8">
      <w:start w:val="1"/>
      <w:numFmt w:val="bullet"/>
      <w:lvlText w:val=""/>
      <w:lvlJc w:val="left"/>
      <w:pPr>
        <w:tabs>
          <w:tab w:val="num" w:pos="720"/>
        </w:tabs>
        <w:ind w:left="720" w:hanging="360"/>
      </w:pPr>
      <w:rPr>
        <w:rFonts w:ascii="Symbol" w:hAnsi="Symbol" w:hint="default"/>
      </w:rPr>
    </w:lvl>
    <w:lvl w:ilvl="1" w:tplc="1DA0FF60" w:tentative="1">
      <w:start w:val="1"/>
      <w:numFmt w:val="bullet"/>
      <w:lvlText w:val="o"/>
      <w:lvlJc w:val="left"/>
      <w:pPr>
        <w:ind w:left="1440" w:hanging="360"/>
      </w:pPr>
      <w:rPr>
        <w:rFonts w:ascii="Courier New" w:hAnsi="Courier New" w:cs="Courier New" w:hint="default"/>
      </w:rPr>
    </w:lvl>
    <w:lvl w:ilvl="2" w:tplc="BCB85870" w:tentative="1">
      <w:start w:val="1"/>
      <w:numFmt w:val="bullet"/>
      <w:lvlText w:val=""/>
      <w:lvlJc w:val="left"/>
      <w:pPr>
        <w:ind w:left="2160" w:hanging="360"/>
      </w:pPr>
      <w:rPr>
        <w:rFonts w:ascii="Wingdings" w:hAnsi="Wingdings" w:hint="default"/>
      </w:rPr>
    </w:lvl>
    <w:lvl w:ilvl="3" w:tplc="16DC53C0" w:tentative="1">
      <w:start w:val="1"/>
      <w:numFmt w:val="bullet"/>
      <w:lvlText w:val=""/>
      <w:lvlJc w:val="left"/>
      <w:pPr>
        <w:ind w:left="2880" w:hanging="360"/>
      </w:pPr>
      <w:rPr>
        <w:rFonts w:ascii="Symbol" w:hAnsi="Symbol" w:hint="default"/>
      </w:rPr>
    </w:lvl>
    <w:lvl w:ilvl="4" w:tplc="537078EC" w:tentative="1">
      <w:start w:val="1"/>
      <w:numFmt w:val="bullet"/>
      <w:lvlText w:val="o"/>
      <w:lvlJc w:val="left"/>
      <w:pPr>
        <w:ind w:left="3600" w:hanging="360"/>
      </w:pPr>
      <w:rPr>
        <w:rFonts w:ascii="Courier New" w:hAnsi="Courier New" w:cs="Courier New" w:hint="default"/>
      </w:rPr>
    </w:lvl>
    <w:lvl w:ilvl="5" w:tplc="5DEA69E0" w:tentative="1">
      <w:start w:val="1"/>
      <w:numFmt w:val="bullet"/>
      <w:lvlText w:val=""/>
      <w:lvlJc w:val="left"/>
      <w:pPr>
        <w:ind w:left="4320" w:hanging="360"/>
      </w:pPr>
      <w:rPr>
        <w:rFonts w:ascii="Wingdings" w:hAnsi="Wingdings" w:hint="default"/>
      </w:rPr>
    </w:lvl>
    <w:lvl w:ilvl="6" w:tplc="19A077EE" w:tentative="1">
      <w:start w:val="1"/>
      <w:numFmt w:val="bullet"/>
      <w:lvlText w:val=""/>
      <w:lvlJc w:val="left"/>
      <w:pPr>
        <w:ind w:left="5040" w:hanging="360"/>
      </w:pPr>
      <w:rPr>
        <w:rFonts w:ascii="Symbol" w:hAnsi="Symbol" w:hint="default"/>
      </w:rPr>
    </w:lvl>
    <w:lvl w:ilvl="7" w:tplc="80D86ADC" w:tentative="1">
      <w:start w:val="1"/>
      <w:numFmt w:val="bullet"/>
      <w:lvlText w:val="o"/>
      <w:lvlJc w:val="left"/>
      <w:pPr>
        <w:ind w:left="5760" w:hanging="360"/>
      </w:pPr>
      <w:rPr>
        <w:rFonts w:ascii="Courier New" w:hAnsi="Courier New" w:cs="Courier New" w:hint="default"/>
      </w:rPr>
    </w:lvl>
    <w:lvl w:ilvl="8" w:tplc="FC3AE890" w:tentative="1">
      <w:start w:val="1"/>
      <w:numFmt w:val="bullet"/>
      <w:lvlText w:val=""/>
      <w:lvlJc w:val="left"/>
      <w:pPr>
        <w:ind w:left="6480" w:hanging="360"/>
      </w:pPr>
      <w:rPr>
        <w:rFonts w:ascii="Wingdings" w:hAnsi="Wingdings" w:hint="default"/>
      </w:rPr>
    </w:lvl>
  </w:abstractNum>
  <w:abstractNum w:abstractNumId="2" w15:restartNumberingAfterBreak="0">
    <w:nsid w:val="4D0B645A"/>
    <w:multiLevelType w:val="hybridMultilevel"/>
    <w:tmpl w:val="250ED094"/>
    <w:lvl w:ilvl="0" w:tplc="6C32474A">
      <w:start w:val="1"/>
      <w:numFmt w:val="bullet"/>
      <w:lvlText w:val=""/>
      <w:lvlJc w:val="left"/>
      <w:pPr>
        <w:tabs>
          <w:tab w:val="num" w:pos="720"/>
        </w:tabs>
        <w:ind w:left="720" w:hanging="360"/>
      </w:pPr>
      <w:rPr>
        <w:rFonts w:ascii="Symbol" w:hAnsi="Symbol" w:hint="default"/>
      </w:rPr>
    </w:lvl>
    <w:lvl w:ilvl="1" w:tplc="4FCA8E0A" w:tentative="1">
      <w:start w:val="1"/>
      <w:numFmt w:val="bullet"/>
      <w:lvlText w:val="o"/>
      <w:lvlJc w:val="left"/>
      <w:pPr>
        <w:ind w:left="1440" w:hanging="360"/>
      </w:pPr>
      <w:rPr>
        <w:rFonts w:ascii="Courier New" w:hAnsi="Courier New" w:cs="Courier New" w:hint="default"/>
      </w:rPr>
    </w:lvl>
    <w:lvl w:ilvl="2" w:tplc="9C92F4AA" w:tentative="1">
      <w:start w:val="1"/>
      <w:numFmt w:val="bullet"/>
      <w:lvlText w:val=""/>
      <w:lvlJc w:val="left"/>
      <w:pPr>
        <w:ind w:left="2160" w:hanging="360"/>
      </w:pPr>
      <w:rPr>
        <w:rFonts w:ascii="Wingdings" w:hAnsi="Wingdings" w:hint="default"/>
      </w:rPr>
    </w:lvl>
    <w:lvl w:ilvl="3" w:tplc="DA1E6DE2" w:tentative="1">
      <w:start w:val="1"/>
      <w:numFmt w:val="bullet"/>
      <w:lvlText w:val=""/>
      <w:lvlJc w:val="left"/>
      <w:pPr>
        <w:ind w:left="2880" w:hanging="360"/>
      </w:pPr>
      <w:rPr>
        <w:rFonts w:ascii="Symbol" w:hAnsi="Symbol" w:hint="default"/>
      </w:rPr>
    </w:lvl>
    <w:lvl w:ilvl="4" w:tplc="0B1C75F6" w:tentative="1">
      <w:start w:val="1"/>
      <w:numFmt w:val="bullet"/>
      <w:lvlText w:val="o"/>
      <w:lvlJc w:val="left"/>
      <w:pPr>
        <w:ind w:left="3600" w:hanging="360"/>
      </w:pPr>
      <w:rPr>
        <w:rFonts w:ascii="Courier New" w:hAnsi="Courier New" w:cs="Courier New" w:hint="default"/>
      </w:rPr>
    </w:lvl>
    <w:lvl w:ilvl="5" w:tplc="F9A01F48" w:tentative="1">
      <w:start w:val="1"/>
      <w:numFmt w:val="bullet"/>
      <w:lvlText w:val=""/>
      <w:lvlJc w:val="left"/>
      <w:pPr>
        <w:ind w:left="4320" w:hanging="360"/>
      </w:pPr>
      <w:rPr>
        <w:rFonts w:ascii="Wingdings" w:hAnsi="Wingdings" w:hint="default"/>
      </w:rPr>
    </w:lvl>
    <w:lvl w:ilvl="6" w:tplc="8A96051C" w:tentative="1">
      <w:start w:val="1"/>
      <w:numFmt w:val="bullet"/>
      <w:lvlText w:val=""/>
      <w:lvlJc w:val="left"/>
      <w:pPr>
        <w:ind w:left="5040" w:hanging="360"/>
      </w:pPr>
      <w:rPr>
        <w:rFonts w:ascii="Symbol" w:hAnsi="Symbol" w:hint="default"/>
      </w:rPr>
    </w:lvl>
    <w:lvl w:ilvl="7" w:tplc="43F4545A" w:tentative="1">
      <w:start w:val="1"/>
      <w:numFmt w:val="bullet"/>
      <w:lvlText w:val="o"/>
      <w:lvlJc w:val="left"/>
      <w:pPr>
        <w:ind w:left="5760" w:hanging="360"/>
      </w:pPr>
      <w:rPr>
        <w:rFonts w:ascii="Courier New" w:hAnsi="Courier New" w:cs="Courier New" w:hint="default"/>
      </w:rPr>
    </w:lvl>
    <w:lvl w:ilvl="8" w:tplc="6C661480" w:tentative="1">
      <w:start w:val="1"/>
      <w:numFmt w:val="bullet"/>
      <w:lvlText w:val=""/>
      <w:lvlJc w:val="left"/>
      <w:pPr>
        <w:ind w:left="6480" w:hanging="360"/>
      </w:pPr>
      <w:rPr>
        <w:rFonts w:ascii="Wingdings" w:hAnsi="Wingdings" w:hint="default"/>
      </w:rPr>
    </w:lvl>
  </w:abstractNum>
  <w:abstractNum w:abstractNumId="3" w15:restartNumberingAfterBreak="0">
    <w:nsid w:val="7D5B5DA1"/>
    <w:multiLevelType w:val="hybridMultilevel"/>
    <w:tmpl w:val="58CE6B2A"/>
    <w:lvl w:ilvl="0" w:tplc="F21829FE">
      <w:start w:val="1"/>
      <w:numFmt w:val="bullet"/>
      <w:lvlText w:val=""/>
      <w:lvlJc w:val="left"/>
      <w:pPr>
        <w:tabs>
          <w:tab w:val="num" w:pos="720"/>
        </w:tabs>
        <w:ind w:left="720" w:hanging="360"/>
      </w:pPr>
      <w:rPr>
        <w:rFonts w:ascii="Symbol" w:hAnsi="Symbol" w:hint="default"/>
      </w:rPr>
    </w:lvl>
    <w:lvl w:ilvl="1" w:tplc="67383552" w:tentative="1">
      <w:start w:val="1"/>
      <w:numFmt w:val="bullet"/>
      <w:lvlText w:val="o"/>
      <w:lvlJc w:val="left"/>
      <w:pPr>
        <w:ind w:left="1440" w:hanging="360"/>
      </w:pPr>
      <w:rPr>
        <w:rFonts w:ascii="Courier New" w:hAnsi="Courier New" w:cs="Courier New" w:hint="default"/>
      </w:rPr>
    </w:lvl>
    <w:lvl w:ilvl="2" w:tplc="E0780E9A" w:tentative="1">
      <w:start w:val="1"/>
      <w:numFmt w:val="bullet"/>
      <w:lvlText w:val=""/>
      <w:lvlJc w:val="left"/>
      <w:pPr>
        <w:ind w:left="2160" w:hanging="360"/>
      </w:pPr>
      <w:rPr>
        <w:rFonts w:ascii="Wingdings" w:hAnsi="Wingdings" w:hint="default"/>
      </w:rPr>
    </w:lvl>
    <w:lvl w:ilvl="3" w:tplc="662E59A8" w:tentative="1">
      <w:start w:val="1"/>
      <w:numFmt w:val="bullet"/>
      <w:lvlText w:val=""/>
      <w:lvlJc w:val="left"/>
      <w:pPr>
        <w:ind w:left="2880" w:hanging="360"/>
      </w:pPr>
      <w:rPr>
        <w:rFonts w:ascii="Symbol" w:hAnsi="Symbol" w:hint="default"/>
      </w:rPr>
    </w:lvl>
    <w:lvl w:ilvl="4" w:tplc="0D1C6696" w:tentative="1">
      <w:start w:val="1"/>
      <w:numFmt w:val="bullet"/>
      <w:lvlText w:val="o"/>
      <w:lvlJc w:val="left"/>
      <w:pPr>
        <w:ind w:left="3600" w:hanging="360"/>
      </w:pPr>
      <w:rPr>
        <w:rFonts w:ascii="Courier New" w:hAnsi="Courier New" w:cs="Courier New" w:hint="default"/>
      </w:rPr>
    </w:lvl>
    <w:lvl w:ilvl="5" w:tplc="F0A6AC8A" w:tentative="1">
      <w:start w:val="1"/>
      <w:numFmt w:val="bullet"/>
      <w:lvlText w:val=""/>
      <w:lvlJc w:val="left"/>
      <w:pPr>
        <w:ind w:left="4320" w:hanging="360"/>
      </w:pPr>
      <w:rPr>
        <w:rFonts w:ascii="Wingdings" w:hAnsi="Wingdings" w:hint="default"/>
      </w:rPr>
    </w:lvl>
    <w:lvl w:ilvl="6" w:tplc="A276FD3E" w:tentative="1">
      <w:start w:val="1"/>
      <w:numFmt w:val="bullet"/>
      <w:lvlText w:val=""/>
      <w:lvlJc w:val="left"/>
      <w:pPr>
        <w:ind w:left="5040" w:hanging="360"/>
      </w:pPr>
      <w:rPr>
        <w:rFonts w:ascii="Symbol" w:hAnsi="Symbol" w:hint="default"/>
      </w:rPr>
    </w:lvl>
    <w:lvl w:ilvl="7" w:tplc="D8D4D8F4" w:tentative="1">
      <w:start w:val="1"/>
      <w:numFmt w:val="bullet"/>
      <w:lvlText w:val="o"/>
      <w:lvlJc w:val="left"/>
      <w:pPr>
        <w:ind w:left="5760" w:hanging="360"/>
      </w:pPr>
      <w:rPr>
        <w:rFonts w:ascii="Courier New" w:hAnsi="Courier New" w:cs="Courier New" w:hint="default"/>
      </w:rPr>
    </w:lvl>
    <w:lvl w:ilvl="8" w:tplc="C55E28D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A"/>
    <w:rsid w:val="0079057A"/>
    <w:rsid w:val="00E1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70E07F-1B06-4298-9CB8-D0AD58F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E0C0A"/>
    <w:rPr>
      <w:sz w:val="16"/>
      <w:szCs w:val="16"/>
    </w:rPr>
  </w:style>
  <w:style w:type="paragraph" w:styleId="CommentText">
    <w:name w:val="annotation text"/>
    <w:basedOn w:val="Normal"/>
    <w:link w:val="CommentTextChar"/>
    <w:semiHidden/>
    <w:unhideWhenUsed/>
    <w:rsid w:val="004E0C0A"/>
    <w:rPr>
      <w:sz w:val="20"/>
      <w:szCs w:val="20"/>
    </w:rPr>
  </w:style>
  <w:style w:type="character" w:customStyle="1" w:styleId="CommentTextChar">
    <w:name w:val="Comment Text Char"/>
    <w:basedOn w:val="DefaultParagraphFont"/>
    <w:link w:val="CommentText"/>
    <w:semiHidden/>
    <w:rsid w:val="004E0C0A"/>
  </w:style>
  <w:style w:type="paragraph" w:styleId="CommentSubject">
    <w:name w:val="annotation subject"/>
    <w:basedOn w:val="CommentText"/>
    <w:next w:val="CommentText"/>
    <w:link w:val="CommentSubjectChar"/>
    <w:semiHidden/>
    <w:unhideWhenUsed/>
    <w:rsid w:val="004E0C0A"/>
    <w:rPr>
      <w:b/>
      <w:bCs/>
    </w:rPr>
  </w:style>
  <w:style w:type="character" w:customStyle="1" w:styleId="CommentSubjectChar">
    <w:name w:val="Comment Subject Char"/>
    <w:basedOn w:val="CommentTextChar"/>
    <w:link w:val="CommentSubject"/>
    <w:semiHidden/>
    <w:rsid w:val="004E0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4270</Characters>
  <Application>Microsoft Office Word</Application>
  <DocSecurity>4</DocSecurity>
  <Lines>94</Lines>
  <Paragraphs>32</Paragraphs>
  <ScaleCrop>false</ScaleCrop>
  <HeadingPairs>
    <vt:vector size="2" baseType="variant">
      <vt:variant>
        <vt:lpstr>Title</vt:lpstr>
      </vt:variant>
      <vt:variant>
        <vt:i4>1</vt:i4>
      </vt:variant>
    </vt:vector>
  </HeadingPairs>
  <TitlesOfParts>
    <vt:vector size="1" baseType="lpstr">
      <vt:lpstr>BA - SB00335 (Committee Report (Unamended))</vt:lpstr>
    </vt:vector>
  </TitlesOfParts>
  <Company>State of Texas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31918</dc:subject>
  <dc:creator>State of Texas</dc:creator>
  <dc:description>SB 335 by West-(H)Ways &amp; Means</dc:description>
  <cp:lastModifiedBy>Scotty Wimberley</cp:lastModifiedBy>
  <cp:revision>2</cp:revision>
  <cp:lastPrinted>2003-11-26T17:21:00Z</cp:lastPrinted>
  <dcterms:created xsi:type="dcterms:W3CDTF">2019-05-14T20:47:00Z</dcterms:created>
  <dcterms:modified xsi:type="dcterms:W3CDTF">2019-05-14T20:47:00Z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19.126.530</vt:lpwstr>
  </property>
</Properties>
</file>