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97802" w:rsidTr="00345119">
        <w:tc>
          <w:tcPr>
            <w:tcW w:w="9576" w:type="dxa"/>
            <w:noWrap/>
          </w:tcPr>
          <w:p w:rsidR="008423E4" w:rsidRPr="0022177D" w:rsidRDefault="00D805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8058B" w:rsidP="008423E4">
      <w:pPr>
        <w:jc w:val="center"/>
      </w:pPr>
    </w:p>
    <w:p w:rsidR="008423E4" w:rsidRPr="00B31F0E" w:rsidRDefault="00D8058B" w:rsidP="008423E4"/>
    <w:p w:rsidR="008423E4" w:rsidRPr="00742794" w:rsidRDefault="00D805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97802" w:rsidTr="00345119">
        <w:tc>
          <w:tcPr>
            <w:tcW w:w="9576" w:type="dxa"/>
          </w:tcPr>
          <w:p w:rsidR="008423E4" w:rsidRPr="00861995" w:rsidRDefault="00D8058B" w:rsidP="00345119">
            <w:pPr>
              <w:jc w:val="right"/>
            </w:pPr>
            <w:r>
              <w:t>S.B. 339</w:t>
            </w:r>
          </w:p>
        </w:tc>
      </w:tr>
      <w:tr w:rsidR="00497802" w:rsidTr="00345119">
        <w:tc>
          <w:tcPr>
            <w:tcW w:w="9576" w:type="dxa"/>
          </w:tcPr>
          <w:p w:rsidR="008423E4" w:rsidRPr="00861995" w:rsidRDefault="00D8058B" w:rsidP="00345119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497802" w:rsidTr="00345119">
        <w:tc>
          <w:tcPr>
            <w:tcW w:w="9576" w:type="dxa"/>
          </w:tcPr>
          <w:p w:rsidR="008423E4" w:rsidRPr="00861995" w:rsidRDefault="00D8058B" w:rsidP="00345119">
            <w:pPr>
              <w:jc w:val="right"/>
            </w:pPr>
            <w:r>
              <w:t>Business &amp; Industry</w:t>
            </w:r>
          </w:p>
        </w:tc>
      </w:tr>
      <w:tr w:rsidR="00497802" w:rsidTr="00345119">
        <w:tc>
          <w:tcPr>
            <w:tcW w:w="9576" w:type="dxa"/>
          </w:tcPr>
          <w:p w:rsidR="008423E4" w:rsidRDefault="00D8058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8058B" w:rsidP="008423E4">
      <w:pPr>
        <w:tabs>
          <w:tab w:val="right" w:pos="9360"/>
        </w:tabs>
      </w:pPr>
    </w:p>
    <w:p w:rsidR="008423E4" w:rsidRDefault="00D8058B" w:rsidP="008423E4"/>
    <w:p w:rsidR="008423E4" w:rsidRDefault="00D805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97802" w:rsidTr="00345119">
        <w:tc>
          <w:tcPr>
            <w:tcW w:w="9576" w:type="dxa"/>
          </w:tcPr>
          <w:p w:rsidR="008423E4" w:rsidRPr="00A8133F" w:rsidRDefault="00D8058B" w:rsidP="003E60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8058B" w:rsidP="003E6016"/>
          <w:p w:rsidR="008423E4" w:rsidRDefault="00D8058B" w:rsidP="003E6016">
            <w:pPr>
              <w:pStyle w:val="Header"/>
              <w:jc w:val="both"/>
            </w:pPr>
            <w:r>
              <w:t xml:space="preserve">There are concerns </w:t>
            </w:r>
            <w:r>
              <w:t>that a seller's disclosure notice for residential property lacks specific</w:t>
            </w:r>
            <w:r>
              <w:t>ity</w:t>
            </w:r>
            <w:r>
              <w:t xml:space="preserve"> regarding a property's </w:t>
            </w:r>
            <w:r>
              <w:t>susceptibility</w:t>
            </w:r>
            <w:r>
              <w:t xml:space="preserve"> to flooding</w:t>
            </w:r>
            <w:r>
              <w:t>.</w:t>
            </w:r>
            <w:r>
              <w:t xml:space="preserve"> </w:t>
            </w:r>
            <w:r>
              <w:t>S.B. 339 seeks to address this concern by</w:t>
            </w:r>
            <w:r>
              <w:t xml:space="preserve"> revising that notice </w:t>
            </w:r>
            <w:r>
              <w:t xml:space="preserve">with respect to </w:t>
            </w:r>
            <w:r>
              <w:t xml:space="preserve">applicable </w:t>
            </w:r>
            <w:r>
              <w:t>s</w:t>
            </w:r>
            <w:r>
              <w:t xml:space="preserve">tatements </w:t>
            </w:r>
            <w:r>
              <w:t xml:space="preserve">and questions </w:t>
            </w:r>
            <w:r>
              <w:t>regarding</w:t>
            </w:r>
            <w:r>
              <w:t>, among other things,</w:t>
            </w:r>
            <w:r>
              <w:t xml:space="preserve"> </w:t>
            </w:r>
            <w:r>
              <w:t>previous property damage, certain flood insurance coverage, the location of the property in rela</w:t>
            </w:r>
            <w:r>
              <w:t xml:space="preserve">tion to </w:t>
            </w:r>
            <w:r>
              <w:t>a floodplain, flood pool, floodway, or reservoir</w:t>
            </w:r>
            <w:r>
              <w:t>, and federal assistance for flood damage.</w:t>
            </w:r>
            <w:r>
              <w:t xml:space="preserve"> </w:t>
            </w:r>
          </w:p>
          <w:p w:rsidR="008423E4" w:rsidRPr="00E26B13" w:rsidRDefault="00D8058B" w:rsidP="003E6016">
            <w:pPr>
              <w:rPr>
                <w:b/>
              </w:rPr>
            </w:pPr>
          </w:p>
        </w:tc>
      </w:tr>
      <w:tr w:rsidR="00497802" w:rsidTr="00345119">
        <w:tc>
          <w:tcPr>
            <w:tcW w:w="9576" w:type="dxa"/>
          </w:tcPr>
          <w:p w:rsidR="0017725B" w:rsidRDefault="00D8058B" w:rsidP="003E60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8058B" w:rsidP="003E6016">
            <w:pPr>
              <w:rPr>
                <w:b/>
                <w:u w:val="single"/>
              </w:rPr>
            </w:pPr>
          </w:p>
          <w:p w:rsidR="000B7661" w:rsidRPr="000B7661" w:rsidRDefault="00D8058B" w:rsidP="003E6016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:rsidR="0017725B" w:rsidRPr="0017725B" w:rsidRDefault="00D8058B" w:rsidP="003E6016">
            <w:pPr>
              <w:rPr>
                <w:b/>
                <w:u w:val="single"/>
              </w:rPr>
            </w:pPr>
          </w:p>
        </w:tc>
      </w:tr>
      <w:tr w:rsidR="00497802" w:rsidTr="00345119">
        <w:tc>
          <w:tcPr>
            <w:tcW w:w="9576" w:type="dxa"/>
          </w:tcPr>
          <w:p w:rsidR="008423E4" w:rsidRPr="00A8133F" w:rsidRDefault="00D8058B" w:rsidP="003E60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8058B" w:rsidP="003E6016"/>
          <w:p w:rsidR="000B7661" w:rsidRDefault="00D8058B" w:rsidP="003E60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D8058B" w:rsidP="003E6016">
            <w:pPr>
              <w:rPr>
                <w:b/>
              </w:rPr>
            </w:pPr>
          </w:p>
        </w:tc>
      </w:tr>
      <w:tr w:rsidR="00497802" w:rsidTr="00345119">
        <w:tc>
          <w:tcPr>
            <w:tcW w:w="9576" w:type="dxa"/>
          </w:tcPr>
          <w:p w:rsidR="008423E4" w:rsidRPr="00A8133F" w:rsidRDefault="00D8058B" w:rsidP="003E60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8058B" w:rsidP="003E6016"/>
          <w:p w:rsidR="008423E4" w:rsidRDefault="00D8058B" w:rsidP="003E60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339 amends the Property Code to </w:t>
            </w:r>
            <w:r>
              <w:t xml:space="preserve">revise </w:t>
            </w:r>
            <w:r>
              <w:t xml:space="preserve">the </w:t>
            </w:r>
            <w:r>
              <w:t>requisite seller's</w:t>
            </w:r>
            <w:r>
              <w:t xml:space="preserve"> disclosure </w:t>
            </w:r>
            <w:r>
              <w:t xml:space="preserve">notice </w:t>
            </w:r>
            <w:r>
              <w:t xml:space="preserve">of </w:t>
            </w:r>
            <w:r>
              <w:t xml:space="preserve">a residential </w:t>
            </w:r>
            <w:r>
              <w:t>property</w:t>
            </w:r>
            <w:r>
              <w:t>'s</w:t>
            </w:r>
            <w:r>
              <w:t xml:space="preserve"> condition </w:t>
            </w:r>
            <w:r>
              <w:t>by including</w:t>
            </w:r>
            <w:r>
              <w:t xml:space="preserve"> </w:t>
            </w:r>
            <w:r>
              <w:t>certain applicable statements</w:t>
            </w:r>
            <w:r>
              <w:t>,</w:t>
            </w:r>
            <w:r>
              <w:t xml:space="preserve"> by </w:t>
            </w:r>
            <w:r>
              <w:t>updating certain existing questions</w:t>
            </w:r>
            <w:r>
              <w:t xml:space="preserve"> in the disclosure notice regarding previous flooding, water penetration</w:t>
            </w:r>
            <w:r>
              <w:t>,</w:t>
            </w:r>
            <w:r>
              <w:t xml:space="preserve"> location in a floodplain, and present insurance coverage</w:t>
            </w:r>
            <w:r>
              <w:t>, and by adding certain other related questions</w:t>
            </w:r>
            <w:r>
              <w:t>. The bill, in making those revisions an</w:t>
            </w:r>
            <w:r>
              <w:t xml:space="preserve">d additions, sets out </w:t>
            </w:r>
            <w:r>
              <w:t>separate</w:t>
            </w:r>
            <w:r>
              <w:t xml:space="preserve"> </w:t>
            </w:r>
            <w:r>
              <w:t xml:space="preserve">questions </w:t>
            </w:r>
            <w:r>
              <w:t>asking</w:t>
            </w:r>
            <w:r>
              <w:t xml:space="preserve"> </w:t>
            </w:r>
            <w:r>
              <w:t>whether</w:t>
            </w:r>
            <w:r>
              <w:t>:</w:t>
            </w:r>
          </w:p>
          <w:p w:rsidR="003B3011" w:rsidRDefault="00D8058B" w:rsidP="003E601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>
              <w:t>seller</w:t>
            </w:r>
            <w:r>
              <w:t xml:space="preserve"> is</w:t>
            </w:r>
            <w:r>
              <w:t xml:space="preserve"> aware of conditions relating to </w:t>
            </w:r>
            <w:r>
              <w:t xml:space="preserve">the property's: </w:t>
            </w:r>
          </w:p>
          <w:p w:rsidR="003B3011" w:rsidRDefault="00D8058B" w:rsidP="003E6016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present flood insurance coverage</w:t>
            </w:r>
            <w:r>
              <w:t>;</w:t>
            </w:r>
            <w:r>
              <w:t xml:space="preserve"> </w:t>
            </w:r>
          </w:p>
          <w:p w:rsidR="003B3011" w:rsidRDefault="00D8058B" w:rsidP="003E6016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previous flooding </w:t>
            </w:r>
            <w:r w:rsidRPr="00A4355E">
              <w:t>due to a failure or breach of a reservoir or a controlled or emergency release of w</w:t>
            </w:r>
            <w:r w:rsidRPr="00A4355E">
              <w:t>ater from a reservoir</w:t>
            </w:r>
            <w:r>
              <w:t xml:space="preserve">; </w:t>
            </w:r>
            <w:r>
              <w:t xml:space="preserve">or </w:t>
            </w:r>
          </w:p>
          <w:p w:rsidR="003B3011" w:rsidRDefault="00D8058B" w:rsidP="003E6016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previous water penetration into a structure</w:t>
            </w:r>
            <w:r>
              <w:t xml:space="preserve"> on the property due to a natural flood event;</w:t>
            </w:r>
          </w:p>
          <w:p w:rsidR="00775161" w:rsidRDefault="00D8058B" w:rsidP="003E601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seller is aware the property is located wholly or partly in a 100-year floodplain, 500</w:t>
            </w:r>
            <w:r>
              <w:noBreakHyphen/>
              <w:t>year floodplain, floodway, flood pool, or reserv</w:t>
            </w:r>
            <w:r>
              <w:t>oir, as well as a requirement to explain the meaning of applicable terms;</w:t>
            </w:r>
          </w:p>
          <w:p w:rsidR="00775161" w:rsidRDefault="00D8058B" w:rsidP="003E6016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seller has ever filed a claim for flood damage to the property with any insurance provider; and </w:t>
            </w:r>
          </w:p>
          <w:p w:rsidR="00775161" w:rsidRDefault="00D8058B" w:rsidP="003E601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the seller has ever received assistance from FEMA or the U.S. Small Business Admi</w:t>
            </w:r>
            <w:r>
              <w:t>nistration for flood damage to the property.</w:t>
            </w:r>
          </w:p>
          <w:p w:rsidR="00903C19" w:rsidRDefault="00D8058B" w:rsidP="003E60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20AD3" w:rsidRDefault="00D8058B" w:rsidP="003E60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339 includes in the </w:t>
            </w:r>
            <w:r>
              <w:t xml:space="preserve">disclosure </w:t>
            </w:r>
            <w:r>
              <w:t xml:space="preserve">notice </w:t>
            </w:r>
            <w:r>
              <w:t xml:space="preserve">certain </w:t>
            </w:r>
            <w:r>
              <w:t>requirement</w:t>
            </w:r>
            <w:r>
              <w:t>s</w:t>
            </w:r>
            <w:r>
              <w:t xml:space="preserve"> for a seller who </w:t>
            </w:r>
            <w:r>
              <w:t xml:space="preserve">answers any of the preceding questions </w:t>
            </w:r>
            <w:r>
              <w:t xml:space="preserve">affirmatively </w:t>
            </w:r>
            <w:r>
              <w:t xml:space="preserve">to </w:t>
            </w:r>
            <w:r>
              <w:t xml:space="preserve">further </w:t>
            </w:r>
            <w:r>
              <w:t>explain th</w:t>
            </w:r>
            <w:r>
              <w:t>at</w:t>
            </w:r>
            <w:r>
              <w:t xml:space="preserve"> answer as necessary. </w:t>
            </w:r>
            <w:r>
              <w:t xml:space="preserve">The bill defines "100-year floodplain," "500-year floodplain," "flood insurance rate map," "floodway," "flood pool," and "reservoir" for purposes of the applicable </w:t>
            </w:r>
            <w:r>
              <w:t xml:space="preserve">statements and questions in the disclosure </w:t>
            </w:r>
            <w:r>
              <w:t>notice.</w:t>
            </w:r>
            <w:r>
              <w:t xml:space="preserve">  </w:t>
            </w:r>
          </w:p>
          <w:p w:rsidR="008423E4" w:rsidRPr="00835628" w:rsidRDefault="00D8058B" w:rsidP="003E6016">
            <w:pPr>
              <w:rPr>
                <w:b/>
              </w:rPr>
            </w:pPr>
          </w:p>
        </w:tc>
      </w:tr>
      <w:tr w:rsidR="00497802" w:rsidTr="00345119">
        <w:tc>
          <w:tcPr>
            <w:tcW w:w="9576" w:type="dxa"/>
          </w:tcPr>
          <w:p w:rsidR="008423E4" w:rsidRPr="00A8133F" w:rsidRDefault="00D8058B" w:rsidP="003E601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8058B" w:rsidP="003E6016"/>
          <w:p w:rsidR="008423E4" w:rsidRPr="003624F2" w:rsidRDefault="00D8058B" w:rsidP="003E6016">
            <w:r w:rsidRPr="000B7661">
              <w:t>September 1, 2019.</w:t>
            </w:r>
          </w:p>
          <w:p w:rsidR="008423E4" w:rsidRPr="00233FDB" w:rsidRDefault="00D8058B" w:rsidP="003E6016">
            <w:pPr>
              <w:rPr>
                <w:b/>
              </w:rPr>
            </w:pPr>
          </w:p>
        </w:tc>
      </w:tr>
    </w:tbl>
    <w:p w:rsidR="008423E4" w:rsidRPr="00BE0E75" w:rsidRDefault="00D8058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8058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058B">
      <w:r>
        <w:separator/>
      </w:r>
    </w:p>
  </w:endnote>
  <w:endnote w:type="continuationSeparator" w:id="0">
    <w:p w:rsidR="00000000" w:rsidRDefault="00D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0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97802" w:rsidTr="009C1E9A">
      <w:trPr>
        <w:cantSplit/>
      </w:trPr>
      <w:tc>
        <w:tcPr>
          <w:tcW w:w="0" w:type="pct"/>
        </w:tcPr>
        <w:p w:rsidR="00137D90" w:rsidRDefault="00D805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805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805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805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805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7802" w:rsidTr="009C1E9A">
      <w:trPr>
        <w:cantSplit/>
      </w:trPr>
      <w:tc>
        <w:tcPr>
          <w:tcW w:w="0" w:type="pct"/>
        </w:tcPr>
        <w:p w:rsidR="00EC379B" w:rsidRDefault="00D805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805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32804</w:t>
          </w:r>
        </w:p>
      </w:tc>
      <w:tc>
        <w:tcPr>
          <w:tcW w:w="2453" w:type="pct"/>
        </w:tcPr>
        <w:p w:rsidR="00EC379B" w:rsidRDefault="00D805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19.128.975</w:t>
          </w:r>
          <w:r>
            <w:fldChar w:fldCharType="end"/>
          </w:r>
        </w:p>
      </w:tc>
    </w:tr>
    <w:tr w:rsidR="00497802" w:rsidTr="009C1E9A">
      <w:trPr>
        <w:cantSplit/>
      </w:trPr>
      <w:tc>
        <w:tcPr>
          <w:tcW w:w="0" w:type="pct"/>
        </w:tcPr>
        <w:p w:rsidR="00EC379B" w:rsidRDefault="00D805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805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8058B" w:rsidP="006D504F">
          <w:pPr>
            <w:pStyle w:val="Footer"/>
            <w:rPr>
              <w:rStyle w:val="PageNumber"/>
            </w:rPr>
          </w:pPr>
        </w:p>
        <w:p w:rsidR="00EC379B" w:rsidRDefault="00D805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978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805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805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805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0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058B">
      <w:r>
        <w:separator/>
      </w:r>
    </w:p>
  </w:footnote>
  <w:footnote w:type="continuationSeparator" w:id="0">
    <w:p w:rsidR="00000000" w:rsidRDefault="00D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0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0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80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A69"/>
    <w:multiLevelType w:val="hybridMultilevel"/>
    <w:tmpl w:val="3424AB98"/>
    <w:lvl w:ilvl="0" w:tplc="AAECB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09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6E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C1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EF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149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26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CEE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4C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59D"/>
    <w:multiLevelType w:val="hybridMultilevel"/>
    <w:tmpl w:val="D5049538"/>
    <w:lvl w:ilvl="0" w:tplc="7D42C1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14059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B867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86492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D64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AAC6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7E0F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3AD7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6CD2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A14B83"/>
    <w:multiLevelType w:val="hybridMultilevel"/>
    <w:tmpl w:val="6088CD52"/>
    <w:lvl w:ilvl="0" w:tplc="F514C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40F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BA6C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6A0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82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66D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05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C7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69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02"/>
    <w:rsid w:val="00497802"/>
    <w:rsid w:val="00D8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AB2082-686E-4917-B060-321923BD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B76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7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6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7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2344</Characters>
  <Application>Microsoft Office Word</Application>
  <DocSecurity>4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SB00339 (Committee Report (Unamended))</vt:lpstr>
    </vt:vector>
  </TitlesOfParts>
  <Company>State of Texas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32804</dc:subject>
  <dc:creator>State of Texas</dc:creator>
  <dc:description>SB 339 by Huffman-(H)Business &amp; Industry</dc:description>
  <cp:lastModifiedBy>Scotty Wimberley</cp:lastModifiedBy>
  <cp:revision>2</cp:revision>
  <cp:lastPrinted>2003-11-26T17:21:00Z</cp:lastPrinted>
  <dcterms:created xsi:type="dcterms:W3CDTF">2019-05-15T13:24:00Z</dcterms:created>
  <dcterms:modified xsi:type="dcterms:W3CDTF">2019-05-15T13:24:00Z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19.128.975</vt:lpwstr>
  </property>
</Properties>
</file>