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D5AEF" w:rsidTr="00345119">
        <w:tc>
          <w:tcPr>
            <w:tcW w:w="9576" w:type="dxa"/>
            <w:noWrap/>
          </w:tcPr>
          <w:p w:rsidR="008423E4" w:rsidRPr="0022177D" w:rsidRDefault="001907F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907F9" w:rsidP="008423E4">
      <w:pPr>
        <w:jc w:val="center"/>
      </w:pPr>
    </w:p>
    <w:p w:rsidR="008423E4" w:rsidRPr="00B31F0E" w:rsidRDefault="001907F9" w:rsidP="008423E4"/>
    <w:p w:rsidR="008423E4" w:rsidRPr="00742794" w:rsidRDefault="001907F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D5AEF" w:rsidTr="00345119">
        <w:tc>
          <w:tcPr>
            <w:tcW w:w="9576" w:type="dxa"/>
          </w:tcPr>
          <w:p w:rsidR="008423E4" w:rsidRPr="00861995" w:rsidRDefault="001907F9" w:rsidP="00345119">
            <w:pPr>
              <w:jc w:val="right"/>
            </w:pPr>
            <w:r>
              <w:t>C.S.S.B. 475</w:t>
            </w:r>
          </w:p>
        </w:tc>
      </w:tr>
      <w:tr w:rsidR="00AD5AEF" w:rsidTr="00345119">
        <w:tc>
          <w:tcPr>
            <w:tcW w:w="9576" w:type="dxa"/>
          </w:tcPr>
          <w:p w:rsidR="008423E4" w:rsidRPr="00861995" w:rsidRDefault="001907F9" w:rsidP="00BB7154">
            <w:pPr>
              <w:jc w:val="right"/>
            </w:pPr>
            <w:r>
              <w:t xml:space="preserve">By: </w:t>
            </w:r>
            <w:r>
              <w:t>Hancock</w:t>
            </w:r>
          </w:p>
        </w:tc>
      </w:tr>
      <w:tr w:rsidR="00AD5AEF" w:rsidTr="00345119">
        <w:tc>
          <w:tcPr>
            <w:tcW w:w="9576" w:type="dxa"/>
          </w:tcPr>
          <w:p w:rsidR="008423E4" w:rsidRPr="00861995" w:rsidRDefault="001907F9" w:rsidP="00345119">
            <w:pPr>
              <w:jc w:val="right"/>
            </w:pPr>
            <w:r>
              <w:t>State Affairs</w:t>
            </w:r>
          </w:p>
        </w:tc>
      </w:tr>
      <w:tr w:rsidR="00AD5AEF" w:rsidTr="00345119">
        <w:tc>
          <w:tcPr>
            <w:tcW w:w="9576" w:type="dxa"/>
          </w:tcPr>
          <w:p w:rsidR="008423E4" w:rsidRDefault="001907F9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1907F9" w:rsidP="008423E4">
      <w:pPr>
        <w:tabs>
          <w:tab w:val="right" w:pos="9360"/>
        </w:tabs>
      </w:pPr>
    </w:p>
    <w:p w:rsidR="008423E4" w:rsidRDefault="001907F9" w:rsidP="008423E4"/>
    <w:p w:rsidR="008423E4" w:rsidRDefault="001907F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D5AEF" w:rsidTr="00345119">
        <w:tc>
          <w:tcPr>
            <w:tcW w:w="9576" w:type="dxa"/>
          </w:tcPr>
          <w:p w:rsidR="008423E4" w:rsidRPr="00A8133F" w:rsidRDefault="001907F9" w:rsidP="00063CF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907F9" w:rsidP="00063CF4"/>
          <w:p w:rsidR="008423E4" w:rsidRDefault="001907F9" w:rsidP="00063CF4">
            <w:pPr>
              <w:pStyle w:val="Header"/>
              <w:jc w:val="both"/>
            </w:pPr>
            <w:r>
              <w:t xml:space="preserve">The electric grid is a complex, interconnected network of generation, transmission, distribution, control, and communication technologies, which are a natural target for cyber and security attacks. </w:t>
            </w:r>
            <w:r>
              <w:t xml:space="preserve">Although the </w:t>
            </w:r>
            <w:r>
              <w:t xml:space="preserve">industry has already taken significant steps </w:t>
            </w:r>
            <w:r>
              <w:t xml:space="preserve">to secure this increasingly interconnected system, the threat of an attack on </w:t>
            </w:r>
            <w:r>
              <w:t xml:space="preserve">the electric </w:t>
            </w:r>
            <w:r>
              <w:t xml:space="preserve">grid and the risks of a widespread outage </w:t>
            </w:r>
            <w:r>
              <w:t>highlight the importance of</w:t>
            </w:r>
            <w:r>
              <w:t xml:space="preserve"> </w:t>
            </w:r>
            <w:r>
              <w:t xml:space="preserve">developing </w:t>
            </w:r>
            <w:r>
              <w:t xml:space="preserve">effective policies to address these potential safety and security risks. </w:t>
            </w:r>
            <w:r>
              <w:t xml:space="preserve">As </w:t>
            </w:r>
            <w:r>
              <w:t>Texas is</w:t>
            </w:r>
            <w:r>
              <w:t xml:space="preserve"> the only state in the </w:t>
            </w:r>
            <w:r>
              <w:t>contiguous United States</w:t>
            </w:r>
            <w:r>
              <w:t xml:space="preserve"> with an electric grid fully within its borders, it </w:t>
            </w:r>
            <w:r>
              <w:t xml:space="preserve">is </w:t>
            </w:r>
            <w:r>
              <w:t>appropriate for Texas</w:t>
            </w:r>
            <w:r>
              <w:t xml:space="preserve"> to </w:t>
            </w:r>
            <w:r>
              <w:t>be</w:t>
            </w:r>
            <w:r>
              <w:t xml:space="preserve"> i</w:t>
            </w:r>
            <w:r>
              <w:t>n the vanguard of addressing these security risks</w:t>
            </w:r>
            <w:r>
              <w:t xml:space="preserve">. </w:t>
            </w:r>
            <w:r>
              <w:t>C.S.</w:t>
            </w:r>
            <w:r>
              <w:t>S</w:t>
            </w:r>
            <w:r>
              <w:t xml:space="preserve">.B. </w:t>
            </w:r>
            <w:r>
              <w:t xml:space="preserve">475 </w:t>
            </w:r>
            <w:r>
              <w:t xml:space="preserve">seeks to </w:t>
            </w:r>
            <w:r>
              <w:t>address these issues by</w:t>
            </w:r>
            <w:r>
              <w:t xml:space="preserve"> establishing the Texas </w:t>
            </w:r>
            <w:r>
              <w:t>E</w:t>
            </w:r>
            <w:r>
              <w:t>lect</w:t>
            </w:r>
            <w:r>
              <w:t xml:space="preserve">ric </w:t>
            </w:r>
            <w:r>
              <w:t xml:space="preserve">Grid Security Council </w:t>
            </w:r>
            <w:r w:rsidRPr="002D788B">
              <w:t>to facilitate the creation, aggregation, coordination, and dissemination of best practices for the electric industry</w:t>
            </w:r>
            <w:r>
              <w:t>.</w:t>
            </w:r>
          </w:p>
          <w:p w:rsidR="008423E4" w:rsidRPr="00E26B13" w:rsidRDefault="001907F9" w:rsidP="00063CF4">
            <w:pPr>
              <w:rPr>
                <w:b/>
              </w:rPr>
            </w:pPr>
          </w:p>
        </w:tc>
      </w:tr>
      <w:tr w:rsidR="00AD5AEF" w:rsidTr="00345119">
        <w:tc>
          <w:tcPr>
            <w:tcW w:w="9576" w:type="dxa"/>
          </w:tcPr>
          <w:p w:rsidR="0017725B" w:rsidRDefault="001907F9" w:rsidP="00063CF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907F9" w:rsidP="00063CF4">
            <w:pPr>
              <w:rPr>
                <w:b/>
                <w:u w:val="single"/>
              </w:rPr>
            </w:pPr>
          </w:p>
          <w:p w:rsidR="001F1151" w:rsidRPr="001F1151" w:rsidRDefault="001907F9" w:rsidP="00063CF4">
            <w:pPr>
              <w:jc w:val="both"/>
            </w:pPr>
            <w:r>
              <w:t xml:space="preserve">It is the committee's opinion that this bill does not expressly create a criminal </w:t>
            </w:r>
            <w:r>
              <w:t>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1907F9" w:rsidP="00063CF4">
            <w:pPr>
              <w:rPr>
                <w:b/>
                <w:u w:val="single"/>
              </w:rPr>
            </w:pPr>
          </w:p>
        </w:tc>
      </w:tr>
      <w:tr w:rsidR="00AD5AEF" w:rsidTr="00345119">
        <w:tc>
          <w:tcPr>
            <w:tcW w:w="9576" w:type="dxa"/>
          </w:tcPr>
          <w:p w:rsidR="008423E4" w:rsidRPr="00A8133F" w:rsidRDefault="001907F9" w:rsidP="00063CF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907F9" w:rsidP="00063CF4"/>
          <w:p w:rsidR="001F1151" w:rsidRDefault="001907F9" w:rsidP="00063CF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</w:t>
            </w:r>
            <w:r>
              <w:t>bill does not expressly grant any additional rulemaking authority to a state officer, department, agency, or institution.</w:t>
            </w:r>
          </w:p>
          <w:p w:rsidR="008423E4" w:rsidRPr="00E21FDC" w:rsidRDefault="001907F9" w:rsidP="00063CF4">
            <w:pPr>
              <w:rPr>
                <w:b/>
              </w:rPr>
            </w:pPr>
          </w:p>
        </w:tc>
      </w:tr>
      <w:tr w:rsidR="00AD5AEF" w:rsidTr="00345119">
        <w:tc>
          <w:tcPr>
            <w:tcW w:w="9576" w:type="dxa"/>
          </w:tcPr>
          <w:p w:rsidR="008423E4" w:rsidRPr="00A8133F" w:rsidRDefault="001907F9" w:rsidP="00063CF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907F9" w:rsidP="00063CF4"/>
          <w:p w:rsidR="0078439C" w:rsidRDefault="001907F9" w:rsidP="00063CF4">
            <w:pPr>
              <w:pStyle w:val="Header"/>
              <w:jc w:val="both"/>
            </w:pPr>
            <w:r>
              <w:t>C.S.S.B. 475</w:t>
            </w:r>
            <w:r>
              <w:t xml:space="preserve"> amends the </w:t>
            </w:r>
            <w:r>
              <w:t>Utilities</w:t>
            </w:r>
            <w:r>
              <w:t xml:space="preserve"> Code to establish the </w:t>
            </w:r>
            <w:r w:rsidRPr="00155DAE">
              <w:t>Texas Electric Grid Security Council</w:t>
            </w:r>
            <w:r>
              <w:t xml:space="preserve"> </w:t>
            </w:r>
            <w:r w:rsidRPr="00155DAE">
              <w:t>as an advisory body to facil</w:t>
            </w:r>
            <w:r w:rsidRPr="00155DAE">
              <w:t>itate the creation, aggregation, coordination, and dissemination of best security practices for the electric industry</w:t>
            </w:r>
            <w:r>
              <w:t>.</w:t>
            </w:r>
            <w:r>
              <w:t xml:space="preserve"> The bill sets out </w:t>
            </w:r>
            <w:r>
              <w:t xml:space="preserve">related </w:t>
            </w:r>
            <w:r w:rsidRPr="008C505D">
              <w:t>legislative findings</w:t>
            </w:r>
            <w:r>
              <w:t xml:space="preserve"> and provides for </w:t>
            </w:r>
            <w:r>
              <w:t>the council's composition</w:t>
            </w:r>
            <w:r>
              <w:t>,</w:t>
            </w:r>
            <w:r>
              <w:t xml:space="preserve"> </w:t>
            </w:r>
            <w:r>
              <w:t>the designation of a presiding officer,</w:t>
            </w:r>
            <w:r>
              <w:t xml:space="preserve"> </w:t>
            </w:r>
            <w:r>
              <w:t>t</w:t>
            </w:r>
            <w:r>
              <w:t xml:space="preserve">he </w:t>
            </w:r>
            <w:r>
              <w:t>ma</w:t>
            </w:r>
            <w:r>
              <w:t>nner in which the</w:t>
            </w:r>
            <w:r>
              <w:t xml:space="preserve"> council convene</w:t>
            </w:r>
            <w:r>
              <w:t xml:space="preserve">s, </w:t>
            </w:r>
            <w:r>
              <w:t xml:space="preserve">and </w:t>
            </w:r>
            <w:r>
              <w:t xml:space="preserve">the </w:t>
            </w:r>
            <w:r>
              <w:t xml:space="preserve">reimbursement of </w:t>
            </w:r>
            <w:r>
              <w:t>council</w:t>
            </w:r>
            <w:r>
              <w:t xml:space="preserve"> </w:t>
            </w:r>
            <w:r>
              <w:t>member</w:t>
            </w:r>
            <w:r>
              <w:t>s, who are not entitled to compensation</w:t>
            </w:r>
            <w:r>
              <w:t xml:space="preserve">. The bill authorizes a council member to apply </w:t>
            </w:r>
            <w:r>
              <w:t xml:space="preserve">for </w:t>
            </w:r>
            <w:r>
              <w:t>federal</w:t>
            </w:r>
            <w:r>
              <w:t xml:space="preserve"> secret security clearance or interim security clearance</w:t>
            </w:r>
            <w:r>
              <w:t xml:space="preserve"> and</w:t>
            </w:r>
            <w:r>
              <w:t xml:space="preserve"> prohibits a member fro</w:t>
            </w:r>
            <w:r>
              <w:t xml:space="preserve">m accessing </w:t>
            </w:r>
            <w:r w:rsidRPr="00155DAE">
              <w:t xml:space="preserve">classified information or </w:t>
            </w:r>
            <w:r w:rsidRPr="00155DAE">
              <w:t>participat</w:t>
            </w:r>
            <w:r>
              <w:t>ing</w:t>
            </w:r>
            <w:r w:rsidRPr="00155DAE">
              <w:t xml:space="preserve"> </w:t>
            </w:r>
            <w:r w:rsidRPr="00155DAE">
              <w:t>in a briefing or meeting involving classified information unless the member has a secret security clearance.</w:t>
            </w:r>
            <w:r>
              <w:t xml:space="preserve"> </w:t>
            </w:r>
          </w:p>
          <w:p w:rsidR="0078439C" w:rsidRDefault="001907F9" w:rsidP="00063CF4">
            <w:pPr>
              <w:pStyle w:val="Header"/>
              <w:jc w:val="both"/>
            </w:pPr>
          </w:p>
          <w:p w:rsidR="00655C01" w:rsidRDefault="001907F9" w:rsidP="00063CF4">
            <w:pPr>
              <w:pStyle w:val="Header"/>
              <w:jc w:val="both"/>
            </w:pPr>
            <w:r>
              <w:t>C.S.</w:t>
            </w:r>
            <w:r>
              <w:t>S</w:t>
            </w:r>
            <w:r>
              <w:t xml:space="preserve">.B. </w:t>
            </w:r>
            <w:r>
              <w:t>475</w:t>
            </w:r>
            <w:r>
              <w:t xml:space="preserve"> requires the </w:t>
            </w:r>
            <w:r>
              <w:t xml:space="preserve">independent organization certified by the Public Utility Commission of Texas </w:t>
            </w:r>
            <w:r>
              <w:t xml:space="preserve">to perform certain functions relating to the market structure of the electric utility industry </w:t>
            </w:r>
            <w:r>
              <w:t xml:space="preserve">to </w:t>
            </w:r>
            <w:r>
              <w:t>do the following:</w:t>
            </w:r>
          </w:p>
          <w:p w:rsidR="00655C01" w:rsidRDefault="001907F9" w:rsidP="00063CF4">
            <w:pPr>
              <w:pStyle w:val="Header"/>
              <w:numPr>
                <w:ilvl w:val="0"/>
                <w:numId w:val="3"/>
              </w:numPr>
              <w:spacing w:before="120" w:after="120"/>
              <w:jc w:val="both"/>
            </w:pPr>
            <w:r w:rsidRPr="001F1151">
              <w:t>provide information and resources requested by the council</w:t>
            </w:r>
            <w:r>
              <w:t>;</w:t>
            </w:r>
            <w:r>
              <w:t xml:space="preserve"> </w:t>
            </w:r>
          </w:p>
          <w:p w:rsidR="00655C01" w:rsidRDefault="001907F9" w:rsidP="00063CF4">
            <w:pPr>
              <w:pStyle w:val="Header"/>
              <w:numPr>
                <w:ilvl w:val="0"/>
                <w:numId w:val="3"/>
              </w:numPr>
              <w:spacing w:before="120" w:after="120"/>
              <w:jc w:val="both"/>
            </w:pPr>
            <w:r>
              <w:t>ma</w:t>
            </w:r>
            <w:r>
              <w:t xml:space="preserve">intain nonclassified </w:t>
            </w:r>
            <w:r w:rsidRPr="00660493">
              <w:t>information obtained or created by the council</w:t>
            </w:r>
            <w:r>
              <w:t>;</w:t>
            </w:r>
            <w:r w:rsidRPr="00660493">
              <w:t xml:space="preserve"> </w:t>
            </w:r>
          </w:p>
          <w:p w:rsidR="00655C01" w:rsidRDefault="001907F9" w:rsidP="00063CF4">
            <w:pPr>
              <w:pStyle w:val="Header"/>
              <w:numPr>
                <w:ilvl w:val="0"/>
                <w:numId w:val="3"/>
              </w:numPr>
              <w:spacing w:before="120" w:after="120"/>
              <w:jc w:val="both"/>
            </w:pPr>
            <w:r w:rsidRPr="00660493">
              <w:t xml:space="preserve">provide members of the council with access to the </w:t>
            </w:r>
            <w:r>
              <w:t xml:space="preserve">nonclassified </w:t>
            </w:r>
            <w:r w:rsidRPr="00660493">
              <w:t>information</w:t>
            </w:r>
            <w:r>
              <w:t>;</w:t>
            </w:r>
            <w:r w:rsidRPr="00660493">
              <w:t xml:space="preserve"> and </w:t>
            </w:r>
          </w:p>
          <w:p w:rsidR="00655C01" w:rsidRDefault="001907F9" w:rsidP="00063CF4">
            <w:pPr>
              <w:pStyle w:val="Header"/>
              <w:numPr>
                <w:ilvl w:val="0"/>
                <w:numId w:val="3"/>
              </w:numPr>
              <w:spacing w:before="120" w:after="120"/>
              <w:jc w:val="both"/>
            </w:pPr>
            <w:r w:rsidRPr="00660493">
              <w:t xml:space="preserve">retain the </w:t>
            </w:r>
            <w:r>
              <w:t xml:space="preserve">nonclassified </w:t>
            </w:r>
            <w:r w:rsidRPr="00660493">
              <w:t>information for five years after the date that the council obtains or creates t</w:t>
            </w:r>
            <w:r w:rsidRPr="00660493">
              <w:t>he information</w:t>
            </w:r>
            <w:r w:rsidRPr="001F1151">
              <w:t>.</w:t>
            </w:r>
            <w:r>
              <w:t xml:space="preserve"> </w:t>
            </w:r>
          </w:p>
          <w:p w:rsidR="00655C01" w:rsidRDefault="001907F9" w:rsidP="00063CF4">
            <w:pPr>
              <w:pStyle w:val="Header"/>
              <w:jc w:val="both"/>
            </w:pPr>
          </w:p>
          <w:p w:rsidR="008423E4" w:rsidRDefault="001907F9" w:rsidP="00063CF4">
            <w:pPr>
              <w:pStyle w:val="Header"/>
              <w:jc w:val="both"/>
            </w:pPr>
            <w:r>
              <w:t>C.S.S.B. 475</w:t>
            </w:r>
            <w:r>
              <w:t xml:space="preserve"> </w:t>
            </w:r>
            <w:r>
              <w:t xml:space="preserve">sets out </w:t>
            </w:r>
            <w:r>
              <w:t>certain entities with which</w:t>
            </w:r>
            <w:r>
              <w:t xml:space="preserve"> the council</w:t>
            </w:r>
            <w:r>
              <w:t xml:space="preserve"> may consult and coordinate</w:t>
            </w:r>
            <w:r>
              <w:t xml:space="preserve"> in carrying out its functions</w:t>
            </w:r>
            <w:r>
              <w:t xml:space="preserve"> and</w:t>
            </w:r>
            <w:r>
              <w:t xml:space="preserve"> requires the council, on </w:t>
            </w:r>
            <w:r w:rsidRPr="001F1151">
              <w:t xml:space="preserve">a request by the governor, the lieutenant governor, </w:t>
            </w:r>
            <w:r>
              <w:t xml:space="preserve">or </w:t>
            </w:r>
            <w:r w:rsidRPr="001F1151">
              <w:t xml:space="preserve">the chair of the committee </w:t>
            </w:r>
            <w:r>
              <w:t>of the h</w:t>
            </w:r>
            <w:r>
              <w:t xml:space="preserve">ouse of representatives or senate </w:t>
            </w:r>
            <w:r w:rsidRPr="001F1151">
              <w:t>having jurisdiction over energy utility regulation</w:t>
            </w:r>
            <w:r>
              <w:t>,</w:t>
            </w:r>
            <w:r>
              <w:t xml:space="preserve"> to issue to the requestor recommendations regarding </w:t>
            </w:r>
            <w:r>
              <w:t>specified topics</w:t>
            </w:r>
            <w:r>
              <w:t xml:space="preserve"> relating to grid security</w:t>
            </w:r>
            <w:r>
              <w:t xml:space="preserve">. The bill authorizes the council to </w:t>
            </w:r>
            <w:r w:rsidRPr="001F1151">
              <w:t>prepare a report outlining grid securit</w:t>
            </w:r>
            <w:r w:rsidRPr="001F1151">
              <w:t>y response efforts that do not involve classified</w:t>
            </w:r>
            <w:r>
              <w:t xml:space="preserve"> or highly sensitive, company-specific</w:t>
            </w:r>
            <w:r w:rsidRPr="001F1151">
              <w:t xml:space="preserve"> information</w:t>
            </w:r>
            <w:r>
              <w:t xml:space="preserve"> and requires</w:t>
            </w:r>
            <w:r>
              <w:t xml:space="preserve"> the council </w:t>
            </w:r>
            <w:r>
              <w:t>to</w:t>
            </w:r>
            <w:r>
              <w:t xml:space="preserve"> </w:t>
            </w:r>
            <w:r w:rsidRPr="001F1151">
              <w:t xml:space="preserve">deliver </w:t>
            </w:r>
            <w:r>
              <w:t xml:space="preserve">any </w:t>
            </w:r>
            <w:r>
              <w:t xml:space="preserve">such </w:t>
            </w:r>
            <w:r>
              <w:t>prepared</w:t>
            </w:r>
            <w:r w:rsidRPr="001F1151">
              <w:t xml:space="preserve"> report to the governor, lieutenant governor, and legislature on or before the December 1 immediately p</w:t>
            </w:r>
            <w:r w:rsidRPr="001F1151">
              <w:t>receding a regular session of the legislature.</w:t>
            </w:r>
            <w:r>
              <w:t xml:space="preserve"> The bill </w:t>
            </w:r>
            <w:r>
              <w:t>exempts</w:t>
            </w:r>
            <w:r>
              <w:t xml:space="preserve"> the </w:t>
            </w:r>
            <w:r>
              <w:t xml:space="preserve">council's </w:t>
            </w:r>
            <w:r w:rsidRPr="001F1151">
              <w:t>meetings</w:t>
            </w:r>
            <w:r>
              <w:t xml:space="preserve"> and information obtained or created by the council</w:t>
            </w:r>
            <w:r w:rsidRPr="001F1151">
              <w:t xml:space="preserve"> </w:t>
            </w:r>
            <w:r>
              <w:t xml:space="preserve">from </w:t>
            </w:r>
            <w:r>
              <w:t>state</w:t>
            </w:r>
            <w:r>
              <w:t xml:space="preserve"> open meetings </w:t>
            </w:r>
            <w:r>
              <w:t xml:space="preserve">law </w:t>
            </w:r>
            <w:r>
              <w:t>and</w:t>
            </w:r>
            <w:r>
              <w:t xml:space="preserve"> </w:t>
            </w:r>
            <w:r>
              <w:t xml:space="preserve">state </w:t>
            </w:r>
            <w:r>
              <w:t>public information</w:t>
            </w:r>
            <w:r>
              <w:t xml:space="preserve"> law</w:t>
            </w:r>
            <w:r>
              <w:t xml:space="preserve"> requirements</w:t>
            </w:r>
            <w:r>
              <w:t>.</w:t>
            </w:r>
            <w:r>
              <w:t xml:space="preserve"> </w:t>
            </w:r>
          </w:p>
          <w:p w:rsidR="008423E4" w:rsidRPr="00835628" w:rsidRDefault="001907F9" w:rsidP="00063CF4">
            <w:pPr>
              <w:rPr>
                <w:b/>
              </w:rPr>
            </w:pPr>
          </w:p>
        </w:tc>
      </w:tr>
      <w:tr w:rsidR="00AD5AEF" w:rsidTr="00345119">
        <w:tc>
          <w:tcPr>
            <w:tcW w:w="9576" w:type="dxa"/>
          </w:tcPr>
          <w:p w:rsidR="008423E4" w:rsidRPr="00A8133F" w:rsidRDefault="001907F9" w:rsidP="00063CF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907F9" w:rsidP="00063CF4"/>
          <w:p w:rsidR="008423E4" w:rsidRPr="003624F2" w:rsidRDefault="001907F9" w:rsidP="00063CF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</w:t>
            </w:r>
            <w:r>
              <w:t xml:space="preserve"> bill does not receive the necessary vote, September 1, 2019.</w:t>
            </w:r>
          </w:p>
          <w:p w:rsidR="008423E4" w:rsidRPr="00233FDB" w:rsidRDefault="001907F9" w:rsidP="00063CF4">
            <w:pPr>
              <w:rPr>
                <w:b/>
              </w:rPr>
            </w:pPr>
          </w:p>
        </w:tc>
      </w:tr>
      <w:tr w:rsidR="00AD5AEF" w:rsidTr="00345119">
        <w:tc>
          <w:tcPr>
            <w:tcW w:w="9576" w:type="dxa"/>
          </w:tcPr>
          <w:p w:rsidR="00BB7154" w:rsidRDefault="001907F9" w:rsidP="00063CF4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SENATE ENGROSSED AND SUBSTITUTE</w:t>
            </w:r>
          </w:p>
          <w:p w:rsidR="00660493" w:rsidRDefault="001907F9" w:rsidP="00063CF4">
            <w:pPr>
              <w:jc w:val="both"/>
            </w:pPr>
          </w:p>
          <w:p w:rsidR="00660493" w:rsidRDefault="001907F9" w:rsidP="00063CF4">
            <w:pPr>
              <w:jc w:val="both"/>
            </w:pPr>
            <w:r>
              <w:t>While C.S.S.B. 475 may differ from the engrossed in minor or nonsubstantive ways, the following summarizes the substantial differences between th</w:t>
            </w:r>
            <w:r>
              <w:t>e engrossed and committee substitute versions of the bill.</w:t>
            </w:r>
          </w:p>
          <w:p w:rsidR="00660493" w:rsidRDefault="001907F9" w:rsidP="00063CF4">
            <w:pPr>
              <w:jc w:val="both"/>
            </w:pPr>
          </w:p>
          <w:p w:rsidR="00A73D8A" w:rsidRDefault="001907F9" w:rsidP="00063CF4">
            <w:pPr>
              <w:jc w:val="both"/>
            </w:pPr>
            <w:r>
              <w:t>The substitute includes a provision requiring the certified independent organization to do the following:</w:t>
            </w:r>
          </w:p>
          <w:p w:rsidR="00A73D8A" w:rsidRDefault="001907F9" w:rsidP="00063CF4">
            <w:pPr>
              <w:pStyle w:val="ListParagraph"/>
              <w:numPr>
                <w:ilvl w:val="0"/>
                <w:numId w:val="4"/>
              </w:numPr>
              <w:spacing w:before="120" w:after="120"/>
              <w:jc w:val="both"/>
            </w:pPr>
            <w:r w:rsidRPr="00A73D8A">
              <w:t>maintain nonclassified information obtained or created by the Texas Electric Grid Security</w:t>
            </w:r>
            <w:r w:rsidRPr="00A73D8A">
              <w:t xml:space="preserve"> Council</w:t>
            </w:r>
            <w:r>
              <w:t>;</w:t>
            </w:r>
            <w:r w:rsidRPr="00A73D8A">
              <w:t xml:space="preserve"> </w:t>
            </w:r>
          </w:p>
          <w:p w:rsidR="00A73D8A" w:rsidRDefault="001907F9" w:rsidP="00063CF4">
            <w:pPr>
              <w:pStyle w:val="ListParagraph"/>
              <w:numPr>
                <w:ilvl w:val="0"/>
                <w:numId w:val="4"/>
              </w:numPr>
              <w:spacing w:before="120" w:after="120"/>
              <w:jc w:val="both"/>
            </w:pPr>
            <w:r w:rsidRPr="00A73D8A">
              <w:t xml:space="preserve">provide members of the council with access to </w:t>
            </w:r>
            <w:r>
              <w:t>that</w:t>
            </w:r>
            <w:r w:rsidRPr="00A73D8A">
              <w:t xml:space="preserve"> information</w:t>
            </w:r>
            <w:r>
              <w:t>;</w:t>
            </w:r>
            <w:r w:rsidRPr="00A73D8A">
              <w:t xml:space="preserve"> and </w:t>
            </w:r>
          </w:p>
          <w:p w:rsidR="00660493" w:rsidRPr="00660493" w:rsidRDefault="001907F9" w:rsidP="00063CF4">
            <w:pPr>
              <w:pStyle w:val="ListParagraph"/>
              <w:numPr>
                <w:ilvl w:val="0"/>
                <w:numId w:val="4"/>
              </w:numPr>
              <w:spacing w:before="120" w:after="120"/>
              <w:jc w:val="both"/>
            </w:pPr>
            <w:r w:rsidRPr="00A73D8A">
              <w:t xml:space="preserve">retain </w:t>
            </w:r>
            <w:r>
              <w:t>that</w:t>
            </w:r>
            <w:r w:rsidRPr="00A73D8A">
              <w:t xml:space="preserve"> information for five years after the date that the council obtains or creates the information</w:t>
            </w:r>
            <w:r>
              <w:t>.</w:t>
            </w:r>
          </w:p>
        </w:tc>
      </w:tr>
    </w:tbl>
    <w:p w:rsidR="008423E4" w:rsidRPr="00BE0E75" w:rsidRDefault="001907F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907F9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907F9">
      <w:r>
        <w:separator/>
      </w:r>
    </w:p>
  </w:endnote>
  <w:endnote w:type="continuationSeparator" w:id="0">
    <w:p w:rsidR="00000000" w:rsidRDefault="0019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907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D5AEF" w:rsidTr="009C1E9A">
      <w:trPr>
        <w:cantSplit/>
      </w:trPr>
      <w:tc>
        <w:tcPr>
          <w:tcW w:w="0" w:type="pct"/>
        </w:tcPr>
        <w:p w:rsidR="00137D90" w:rsidRDefault="001907F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907F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907F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907F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907F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D5AEF" w:rsidTr="009C1E9A">
      <w:trPr>
        <w:cantSplit/>
      </w:trPr>
      <w:tc>
        <w:tcPr>
          <w:tcW w:w="0" w:type="pct"/>
        </w:tcPr>
        <w:p w:rsidR="00EC379B" w:rsidRDefault="001907F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907F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29009</w:t>
          </w:r>
        </w:p>
      </w:tc>
      <w:tc>
        <w:tcPr>
          <w:tcW w:w="2453" w:type="pct"/>
        </w:tcPr>
        <w:p w:rsidR="00EC379B" w:rsidRDefault="001907F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19.113.682</w:t>
          </w:r>
          <w:r>
            <w:fldChar w:fldCharType="end"/>
          </w:r>
        </w:p>
      </w:tc>
    </w:tr>
    <w:tr w:rsidR="00AD5AEF" w:rsidTr="009C1E9A">
      <w:trPr>
        <w:cantSplit/>
      </w:trPr>
      <w:tc>
        <w:tcPr>
          <w:tcW w:w="0" w:type="pct"/>
        </w:tcPr>
        <w:p w:rsidR="00EC379B" w:rsidRDefault="001907F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907F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21765</w:t>
          </w:r>
        </w:p>
      </w:tc>
      <w:tc>
        <w:tcPr>
          <w:tcW w:w="2453" w:type="pct"/>
        </w:tcPr>
        <w:p w:rsidR="00EC379B" w:rsidRDefault="001907F9" w:rsidP="006D504F">
          <w:pPr>
            <w:pStyle w:val="Footer"/>
            <w:rPr>
              <w:rStyle w:val="PageNumber"/>
            </w:rPr>
          </w:pPr>
        </w:p>
        <w:p w:rsidR="00EC379B" w:rsidRDefault="001907F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D5AE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907F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1907F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907F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907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907F9">
      <w:r>
        <w:separator/>
      </w:r>
    </w:p>
  </w:footnote>
  <w:footnote w:type="continuationSeparator" w:id="0">
    <w:p w:rsidR="00000000" w:rsidRDefault="00190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907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907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907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60403"/>
    <w:multiLevelType w:val="hybridMultilevel"/>
    <w:tmpl w:val="3EA812B8"/>
    <w:lvl w:ilvl="0" w:tplc="207827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8EE7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0480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92B7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2400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324D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AA19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800F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8482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32E2A"/>
    <w:multiLevelType w:val="hybridMultilevel"/>
    <w:tmpl w:val="776E1B84"/>
    <w:lvl w:ilvl="0" w:tplc="9200AC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54D2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302E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E079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0832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4CD5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18DF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B21E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FEF0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041A0"/>
    <w:multiLevelType w:val="hybridMultilevel"/>
    <w:tmpl w:val="C41E5968"/>
    <w:lvl w:ilvl="0" w:tplc="B65685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621A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0440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F4F5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6CA1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5003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ECBA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A807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3C3C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37BF5"/>
    <w:multiLevelType w:val="hybridMultilevel"/>
    <w:tmpl w:val="5ED6BC82"/>
    <w:lvl w:ilvl="0" w:tplc="00844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1C54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C897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880A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C021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2A39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D6C7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0242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12EB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EF"/>
    <w:rsid w:val="001907F9"/>
    <w:rsid w:val="00AD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CFA33F8-0E03-42F7-BFC2-17314F494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55DA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55D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55DA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55D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55DAE"/>
    <w:rPr>
      <w:b/>
      <w:bCs/>
    </w:rPr>
  </w:style>
  <w:style w:type="paragraph" w:styleId="Revision">
    <w:name w:val="Revision"/>
    <w:hidden/>
    <w:uiPriority w:val="99"/>
    <w:semiHidden/>
    <w:rsid w:val="000016A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73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665</Words>
  <Characters>3888</Characters>
  <Application>Microsoft Office Word</Application>
  <DocSecurity>4</DocSecurity>
  <Lines>86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SB00475 (Committee Report (Substituted))</vt:lpstr>
    </vt:vector>
  </TitlesOfParts>
  <Company>State of Texas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29009</dc:subject>
  <dc:creator>State of Texas</dc:creator>
  <dc:description>SB 475 by Hancock-(H)State Affairs (Substitute Document Number: 86R 21765)</dc:description>
  <cp:lastModifiedBy>Stacey Nicchio</cp:lastModifiedBy>
  <cp:revision>2</cp:revision>
  <cp:lastPrinted>2003-11-26T17:21:00Z</cp:lastPrinted>
  <dcterms:created xsi:type="dcterms:W3CDTF">2019-04-29T19:42:00Z</dcterms:created>
  <dcterms:modified xsi:type="dcterms:W3CDTF">2019-04-29T19:42:00Z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19.113.682</vt:lpwstr>
  </property>
</Properties>
</file>