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22F1" w:rsidTr="00345119">
        <w:tc>
          <w:tcPr>
            <w:tcW w:w="9576" w:type="dxa"/>
            <w:noWrap/>
          </w:tcPr>
          <w:p w:rsidR="008423E4" w:rsidRPr="0022177D" w:rsidRDefault="00586C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6C39" w:rsidP="008423E4">
      <w:pPr>
        <w:jc w:val="center"/>
      </w:pPr>
    </w:p>
    <w:p w:rsidR="008423E4" w:rsidRPr="00B31F0E" w:rsidRDefault="00586C39" w:rsidP="008423E4"/>
    <w:p w:rsidR="008423E4" w:rsidRPr="00742794" w:rsidRDefault="00586C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22F1" w:rsidTr="00345119">
        <w:tc>
          <w:tcPr>
            <w:tcW w:w="9576" w:type="dxa"/>
          </w:tcPr>
          <w:p w:rsidR="008423E4" w:rsidRPr="00861995" w:rsidRDefault="00586C39" w:rsidP="00345119">
            <w:pPr>
              <w:jc w:val="right"/>
            </w:pPr>
            <w:r>
              <w:t>S.B. 494</w:t>
            </w:r>
          </w:p>
        </w:tc>
      </w:tr>
      <w:tr w:rsidR="00EF22F1" w:rsidTr="00345119">
        <w:tc>
          <w:tcPr>
            <w:tcW w:w="9576" w:type="dxa"/>
          </w:tcPr>
          <w:p w:rsidR="008423E4" w:rsidRPr="00861995" w:rsidRDefault="00586C39" w:rsidP="0091729E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EF22F1" w:rsidTr="00345119">
        <w:tc>
          <w:tcPr>
            <w:tcW w:w="9576" w:type="dxa"/>
          </w:tcPr>
          <w:p w:rsidR="008423E4" w:rsidRPr="00861995" w:rsidRDefault="00586C39" w:rsidP="00345119">
            <w:pPr>
              <w:jc w:val="right"/>
            </w:pPr>
            <w:r>
              <w:t>State Affairs</w:t>
            </w:r>
          </w:p>
        </w:tc>
      </w:tr>
      <w:tr w:rsidR="00EF22F1" w:rsidTr="00345119">
        <w:tc>
          <w:tcPr>
            <w:tcW w:w="9576" w:type="dxa"/>
          </w:tcPr>
          <w:p w:rsidR="008423E4" w:rsidRDefault="00586C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86C39" w:rsidP="008423E4">
      <w:pPr>
        <w:tabs>
          <w:tab w:val="right" w:pos="9360"/>
        </w:tabs>
      </w:pPr>
    </w:p>
    <w:p w:rsidR="008423E4" w:rsidRDefault="00586C39" w:rsidP="008423E4"/>
    <w:p w:rsidR="008423E4" w:rsidRDefault="00586C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22F1" w:rsidTr="00D63BDB">
        <w:tc>
          <w:tcPr>
            <w:tcW w:w="9576" w:type="dxa"/>
          </w:tcPr>
          <w:p w:rsidR="008423E4" w:rsidRPr="00A8133F" w:rsidRDefault="00586C39" w:rsidP="00EB1B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6C39" w:rsidP="00EB1BE4"/>
          <w:p w:rsidR="002274C1" w:rsidRDefault="00586C39" w:rsidP="00EB1BE4">
            <w:pPr>
              <w:pStyle w:val="Header"/>
              <w:jc w:val="both"/>
            </w:pPr>
            <w:r>
              <w:t>The</w:t>
            </w:r>
            <w:r>
              <w:t xml:space="preserve"> Senate </w:t>
            </w:r>
            <w:r>
              <w:t xml:space="preserve">Committee on </w:t>
            </w:r>
            <w:r>
              <w:t>State Affairs</w:t>
            </w:r>
            <w:r>
              <w:t>, in its interim report to the 86th Legislature, found that compliance with state o</w:t>
            </w:r>
            <w:r>
              <w:t xml:space="preserve">pen </w:t>
            </w:r>
            <w:r>
              <w:t>m</w:t>
            </w:r>
            <w:r>
              <w:t xml:space="preserve">eetings </w:t>
            </w:r>
            <w:r>
              <w:t>law</w:t>
            </w:r>
            <w:r>
              <w:t xml:space="preserve"> and public information law</w:t>
            </w:r>
            <w:r>
              <w:t xml:space="preserve"> in the wake of Hurricane Harvey presented a hurdle to swift and effective communication</w:t>
            </w:r>
            <w:r>
              <w:t xml:space="preserve">, which is integral to an effective </w:t>
            </w:r>
            <w:r>
              <w:t xml:space="preserve">emergency </w:t>
            </w:r>
            <w:r>
              <w:t>response effort. It has been suggested that it would be easier for local officials to coordinat</w:t>
            </w:r>
            <w:r>
              <w:t>e and respon</w:t>
            </w:r>
            <w:r>
              <w:t>d</w:t>
            </w:r>
            <w:r>
              <w:t xml:space="preserve"> to an emergency in a timely manner if they were granted greater flexibility with regard to compliance with the requirements of state open meetings law</w:t>
            </w:r>
            <w:r>
              <w:t xml:space="preserve"> and public information law</w:t>
            </w:r>
            <w:r>
              <w:t xml:space="preserve">. </w:t>
            </w:r>
            <w:r>
              <w:t>S.B. 494</w:t>
            </w:r>
            <w:r>
              <w:t xml:space="preserve"> seeks to provide that flexibility by providing for a t</w:t>
            </w:r>
            <w:r>
              <w:t xml:space="preserve">emporary </w:t>
            </w:r>
            <w:r w:rsidRPr="003923A7">
              <w:t xml:space="preserve">suspension of </w:t>
            </w:r>
            <w:r>
              <w:t>public information law</w:t>
            </w:r>
            <w:r w:rsidRPr="003923A7">
              <w:t xml:space="preserve"> requirements for a governmental body</w:t>
            </w:r>
            <w:r>
              <w:t xml:space="preserve"> impacted by a catastrophe and by shortening the required public posting period for</w:t>
            </w:r>
            <w:r w:rsidRPr="003923A7">
              <w:t xml:space="preserve"> </w:t>
            </w:r>
            <w:r>
              <w:t xml:space="preserve">meetings called to deal with an emergency or urgent public </w:t>
            </w:r>
            <w:r>
              <w:t>necessity</w:t>
            </w:r>
            <w:r>
              <w:t>.</w:t>
            </w:r>
          </w:p>
          <w:p w:rsidR="008423E4" w:rsidRPr="00E26B13" w:rsidRDefault="00586C39" w:rsidP="00EB1BE4">
            <w:pPr>
              <w:pStyle w:val="Header"/>
              <w:jc w:val="both"/>
              <w:rPr>
                <w:b/>
              </w:rPr>
            </w:pPr>
          </w:p>
        </w:tc>
      </w:tr>
      <w:tr w:rsidR="00EF22F1" w:rsidTr="00D63BDB">
        <w:tc>
          <w:tcPr>
            <w:tcW w:w="9576" w:type="dxa"/>
          </w:tcPr>
          <w:p w:rsidR="0017725B" w:rsidRDefault="00586C39" w:rsidP="00EB1B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586C39" w:rsidP="00EB1BE4">
            <w:pPr>
              <w:rPr>
                <w:b/>
                <w:u w:val="single"/>
              </w:rPr>
            </w:pPr>
          </w:p>
          <w:p w:rsidR="005F3050" w:rsidRPr="005F3050" w:rsidRDefault="00586C39" w:rsidP="00EB1BE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586C39" w:rsidP="00EB1BE4">
            <w:pPr>
              <w:rPr>
                <w:b/>
                <w:u w:val="single"/>
              </w:rPr>
            </w:pPr>
          </w:p>
        </w:tc>
      </w:tr>
      <w:tr w:rsidR="00EF22F1" w:rsidTr="00D63BDB">
        <w:tc>
          <w:tcPr>
            <w:tcW w:w="9576" w:type="dxa"/>
          </w:tcPr>
          <w:p w:rsidR="008423E4" w:rsidRPr="00A8133F" w:rsidRDefault="00586C39" w:rsidP="00EB1B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6C39" w:rsidP="00EB1BE4"/>
          <w:p w:rsidR="005F3050" w:rsidRDefault="00586C39" w:rsidP="00EB1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86C39" w:rsidP="00EB1BE4">
            <w:pPr>
              <w:rPr>
                <w:b/>
              </w:rPr>
            </w:pPr>
          </w:p>
        </w:tc>
      </w:tr>
      <w:tr w:rsidR="00EF22F1" w:rsidTr="00D63BDB">
        <w:tc>
          <w:tcPr>
            <w:tcW w:w="9576" w:type="dxa"/>
          </w:tcPr>
          <w:p w:rsidR="008423E4" w:rsidRDefault="00586C39" w:rsidP="00EB1B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60741" w:rsidRPr="00CB192F" w:rsidRDefault="00586C39" w:rsidP="00EB1BE4">
            <w:pPr>
              <w:rPr>
                <w:b/>
              </w:rPr>
            </w:pPr>
          </w:p>
          <w:p w:rsidR="00855BD3" w:rsidRDefault="00586C39" w:rsidP="00EB1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494</w:t>
            </w:r>
            <w:r>
              <w:t xml:space="preserve"> amends the Government Code to </w:t>
            </w:r>
            <w:r>
              <w:t xml:space="preserve">decrease </w:t>
            </w:r>
            <w:r w:rsidRPr="00402045">
              <w:t xml:space="preserve">from two hours to one hour the time before </w:t>
            </w:r>
            <w:r>
              <w:t xml:space="preserve">the convening of </w:t>
            </w:r>
            <w:r w:rsidRPr="00402045">
              <w:t>a meeting of a governmental body to deliberate or take action on an emergency or urgent public necessity or a meeting for which an item was added to the age</w:t>
            </w:r>
            <w:r w:rsidRPr="00402045">
              <w:t xml:space="preserve">nda to deliberate or take action on an emergency or urgent public necessity that notice or supplemental </w:t>
            </w:r>
            <w:r>
              <w:t xml:space="preserve">notice </w:t>
            </w:r>
            <w:r w:rsidRPr="00402045">
              <w:t>for the meeting, as applicable, must be posted for that notice to be considered sufficient under state open meetings law.</w:t>
            </w:r>
            <w:r>
              <w:t xml:space="preserve"> </w:t>
            </w:r>
            <w:r>
              <w:t xml:space="preserve">The bill </w:t>
            </w:r>
            <w:r>
              <w:t xml:space="preserve">clarifies the </w:t>
            </w:r>
            <w:r>
              <w:t>circumstances under which an emergency or an urgent public necessity exists and prohibits a governmental body from deliberating or taking action on a matter at a meeting for which notice or supplemental notice is posted other than a matter directly related</w:t>
            </w:r>
            <w:r>
              <w:t xml:space="preserve"> to responding to the emergency </w:t>
            </w:r>
            <w:r w:rsidRPr="001D00BA">
              <w:t>or urgent public necessity identified in the notice or supplemental notice</w:t>
            </w:r>
            <w:r>
              <w:t xml:space="preserve"> or an agenda item listed on a meeting notice before the supplemental notice was posted. The bill</w:t>
            </w:r>
            <w:r w:rsidRPr="001407D6">
              <w:t xml:space="preserve"> authorizes the attorney general to bring an action</w:t>
            </w:r>
            <w:r>
              <w:t xml:space="preserve"> </w:t>
            </w:r>
            <w:r w:rsidRPr="001407D6">
              <w:t>b</w:t>
            </w:r>
            <w:r w:rsidRPr="001407D6">
              <w:t>y mandamus or injunction to stop, prevent, or reverse a violation or threatened violation</w:t>
            </w:r>
            <w:r>
              <w:t xml:space="preserve"> of that prohibition</w:t>
            </w:r>
            <w:r w:rsidRPr="001407D6">
              <w:t xml:space="preserve"> by members of a governmental </w:t>
            </w:r>
            <w:r>
              <w:t>body and requires the suit to be filed in a district court of Travis County.</w:t>
            </w:r>
            <w:r>
              <w:t xml:space="preserve"> </w:t>
            </w:r>
          </w:p>
          <w:p w:rsidR="00855BD3" w:rsidRDefault="00586C39" w:rsidP="00EB1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0953" w:rsidRDefault="00586C39" w:rsidP="00EB1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494</w:t>
            </w:r>
            <w:r>
              <w:t xml:space="preserve"> </w:t>
            </w:r>
            <w:r>
              <w:t>clarifies that</w:t>
            </w:r>
            <w:r w:rsidRPr="00880953">
              <w:t xml:space="preserve"> the special no</w:t>
            </w:r>
            <w:r w:rsidRPr="00880953">
              <w:t>tice</w:t>
            </w:r>
            <w:r>
              <w:t xml:space="preserve"> </w:t>
            </w:r>
            <w:r>
              <w:t xml:space="preserve">of an </w:t>
            </w:r>
            <w:r w:rsidRPr="00880953">
              <w:t xml:space="preserve">emergency meeting or </w:t>
            </w:r>
            <w:r>
              <w:t>the</w:t>
            </w:r>
            <w:r w:rsidRPr="00880953">
              <w:t xml:space="preserve"> </w:t>
            </w:r>
            <w:r w:rsidRPr="00880953">
              <w:t xml:space="preserve">addition </w:t>
            </w:r>
            <w:r>
              <w:t xml:space="preserve">of an emergency item </w:t>
            </w:r>
            <w:r w:rsidRPr="00880953">
              <w:t xml:space="preserve">to </w:t>
            </w:r>
            <w:r>
              <w:t>an</w:t>
            </w:r>
            <w:r w:rsidRPr="00880953">
              <w:t xml:space="preserve"> </w:t>
            </w:r>
            <w:r w:rsidRPr="00880953">
              <w:t xml:space="preserve">agenda </w:t>
            </w:r>
            <w:r w:rsidRPr="005239F5">
              <w:t xml:space="preserve">of a governmental body </w:t>
            </w:r>
            <w:r>
              <w:t xml:space="preserve">given </w:t>
            </w:r>
            <w:r w:rsidRPr="005239F5">
              <w:t xml:space="preserve">to </w:t>
            </w:r>
            <w:r>
              <w:t xml:space="preserve">the news media </w:t>
            </w:r>
            <w:r>
              <w:t xml:space="preserve">must </w:t>
            </w:r>
            <w:r>
              <w:t xml:space="preserve">be given </w:t>
            </w:r>
            <w:r w:rsidRPr="00880953">
              <w:t>at least one hour before the meeting is convened.</w:t>
            </w:r>
            <w:r>
              <w:t xml:space="preserve"> </w:t>
            </w:r>
          </w:p>
          <w:p w:rsidR="001407D6" w:rsidRDefault="00586C39" w:rsidP="00EB1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2BE1" w:rsidRDefault="00586C39" w:rsidP="00EB1BE4">
            <w:pPr>
              <w:pStyle w:val="Header"/>
              <w:jc w:val="both"/>
            </w:pPr>
            <w:r>
              <w:t>S.B. 494</w:t>
            </w:r>
            <w:r>
              <w:t xml:space="preserve"> </w:t>
            </w:r>
            <w:r>
              <w:t xml:space="preserve">provides for the temporary suspension of state </w:t>
            </w:r>
            <w:r>
              <w:t xml:space="preserve">public </w:t>
            </w:r>
            <w:r>
              <w:t>information</w:t>
            </w:r>
            <w:r>
              <w:t xml:space="preserve"> law </w:t>
            </w:r>
            <w:r>
              <w:t xml:space="preserve">requirements </w:t>
            </w:r>
            <w:r>
              <w:t xml:space="preserve">for a specified period for a governmental body that is currently impacted by a catastrophe that </w:t>
            </w:r>
            <w:r w:rsidRPr="00227D1D">
              <w:t xml:space="preserve">interferes with the </w:t>
            </w:r>
            <w:r>
              <w:t xml:space="preserve">body's </w:t>
            </w:r>
            <w:r w:rsidRPr="00227D1D">
              <w:t xml:space="preserve">ability to comply with </w:t>
            </w:r>
            <w:r>
              <w:t>those</w:t>
            </w:r>
            <w:r w:rsidRPr="00227D1D">
              <w:t xml:space="preserve"> requirements</w:t>
            </w:r>
            <w:r>
              <w:t xml:space="preserve">. </w:t>
            </w:r>
            <w:r>
              <w:t xml:space="preserve">The bill </w:t>
            </w:r>
            <w:r>
              <w:t>requires a</w:t>
            </w:r>
            <w:r w:rsidRPr="00EE4DE4">
              <w:t xml:space="preserve"> governmental body that elects to suspend</w:t>
            </w:r>
            <w:r>
              <w:t xml:space="preserve"> </w:t>
            </w:r>
            <w:r w:rsidRPr="00EE4DE4">
              <w:t>the applicability of th</w:t>
            </w:r>
            <w:r>
              <w:t>os</w:t>
            </w:r>
            <w:r w:rsidRPr="00EE4DE4">
              <w:t xml:space="preserve">e requirements </w:t>
            </w:r>
            <w:r>
              <w:t>to</w:t>
            </w:r>
            <w:r w:rsidRPr="00EE4DE4">
              <w:t xml:space="preserve"> submit notice to the </w:t>
            </w:r>
            <w:r>
              <w:t xml:space="preserve">attorney general's </w:t>
            </w:r>
            <w:r w:rsidRPr="00EE4DE4">
              <w:t xml:space="preserve">office </w:t>
            </w:r>
            <w:r>
              <w:t>on a form</w:t>
            </w:r>
            <w:r>
              <w:t xml:space="preserve"> </w:t>
            </w:r>
            <w:r>
              <w:t xml:space="preserve">prescribed by the office </w:t>
            </w:r>
            <w:r w:rsidRPr="00EE4DE4">
              <w:t>that</w:t>
            </w:r>
            <w:r w:rsidRPr="00EE4DE4">
              <w:t xml:space="preserve"> the body</w:t>
            </w:r>
            <w:r>
              <w:t>:</w:t>
            </w:r>
          </w:p>
          <w:p w:rsidR="00CA2BE1" w:rsidRDefault="00586C39" w:rsidP="00EB1BE4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EE4DE4">
              <w:t>is currently impacted by a catastrophe</w:t>
            </w:r>
            <w:r>
              <w:t>;</w:t>
            </w:r>
            <w:r w:rsidRPr="00EE4DE4">
              <w:t xml:space="preserve"> </w:t>
            </w:r>
            <w:r w:rsidRPr="001C1489">
              <w:t>and</w:t>
            </w:r>
          </w:p>
          <w:p w:rsidR="00CA2BE1" w:rsidRDefault="00586C39" w:rsidP="00EB1BE4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1C1489">
              <w:t xml:space="preserve">has elected to </w:t>
            </w:r>
            <w:r w:rsidRPr="004C3D76">
              <w:t>suspend those requirements.</w:t>
            </w:r>
            <w:r w:rsidRPr="00EE4DE4">
              <w:t xml:space="preserve"> </w:t>
            </w:r>
          </w:p>
          <w:p w:rsidR="002274C1" w:rsidRDefault="00586C39" w:rsidP="00EB1BE4">
            <w:pPr>
              <w:pStyle w:val="Header"/>
              <w:jc w:val="both"/>
            </w:pPr>
            <w:r>
              <w:t xml:space="preserve">The initial suspension </w:t>
            </w:r>
            <w:r>
              <w:t>period</w:t>
            </w:r>
            <w:r>
              <w:t xml:space="preserve"> </w:t>
            </w:r>
            <w:r>
              <w:t>may not exceed</w:t>
            </w:r>
            <w:r>
              <w:t xml:space="preserve"> seven consecutive days</w:t>
            </w:r>
            <w:r>
              <w:t>, which must occur during a period that</w:t>
            </w:r>
            <w:r>
              <w:t xml:space="preserve"> </w:t>
            </w:r>
            <w:r>
              <w:t>begin</w:t>
            </w:r>
            <w:r>
              <w:t>s</w:t>
            </w:r>
            <w:r>
              <w:t xml:space="preserve"> not earlier than the second day before the</w:t>
            </w:r>
            <w:r>
              <w:t xml:space="preserve"> date the</w:t>
            </w:r>
            <w:r>
              <w:t xml:space="preserve"> </w:t>
            </w:r>
            <w:r>
              <w:t xml:space="preserve">governmental </w:t>
            </w:r>
            <w:r>
              <w:t xml:space="preserve">body submits </w:t>
            </w:r>
            <w:r>
              <w:t xml:space="preserve">the </w:t>
            </w:r>
            <w:r>
              <w:t>notice and</w:t>
            </w:r>
            <w:r>
              <w:t xml:space="preserve"> end</w:t>
            </w:r>
            <w:r>
              <w:t>s</w:t>
            </w:r>
            <w:r>
              <w:t xml:space="preserve"> not later than the seventh day after </w:t>
            </w:r>
            <w:r>
              <w:t>that date</w:t>
            </w:r>
            <w:r>
              <w:t>.</w:t>
            </w:r>
            <w:r>
              <w:t xml:space="preserve"> </w:t>
            </w:r>
          </w:p>
          <w:p w:rsidR="002274C1" w:rsidRDefault="00586C39" w:rsidP="00EB1BE4">
            <w:pPr>
              <w:pStyle w:val="Header"/>
              <w:jc w:val="both"/>
            </w:pPr>
          </w:p>
          <w:p w:rsidR="00CA2BE1" w:rsidRDefault="00586C39" w:rsidP="00EB1BE4">
            <w:pPr>
              <w:pStyle w:val="Header"/>
              <w:jc w:val="both"/>
            </w:pPr>
            <w:r>
              <w:t>S.B. 494</w:t>
            </w:r>
            <w:r>
              <w:t xml:space="preserve"> provides</w:t>
            </w:r>
            <w:r>
              <w:t xml:space="preserve"> for an </w:t>
            </w:r>
            <w:r w:rsidRPr="00AB09ED">
              <w:t>exten</w:t>
            </w:r>
            <w:r>
              <w:t xml:space="preserve">sion of </w:t>
            </w:r>
            <w:r w:rsidRPr="00AB09ED">
              <w:t>an i</w:t>
            </w:r>
            <w:r>
              <w:t xml:space="preserve">nitial suspension period </w:t>
            </w:r>
            <w:r>
              <w:t xml:space="preserve">for an additional seven consecutive days </w:t>
            </w:r>
            <w:r>
              <w:t xml:space="preserve">if the </w:t>
            </w:r>
            <w:r>
              <w:t xml:space="preserve">governmental </w:t>
            </w:r>
            <w:r>
              <w:t xml:space="preserve">body </w:t>
            </w:r>
            <w:r w:rsidRPr="00AB09ED">
              <w:t xml:space="preserve">determines </w:t>
            </w:r>
            <w:r>
              <w:t>it</w:t>
            </w:r>
            <w:r w:rsidRPr="00AB09ED">
              <w:t xml:space="preserve"> is still impacted by the catastrophe</w:t>
            </w:r>
            <w:r>
              <w:t xml:space="preserve"> that was the basis of</w:t>
            </w:r>
            <w:r w:rsidRPr="00AB09ED">
              <w:t xml:space="preserve"> the initial suspension period </w:t>
            </w:r>
            <w:r>
              <w:t>and</w:t>
            </w:r>
            <w:r>
              <w:t xml:space="preserve"> requires the</w:t>
            </w:r>
            <w:r w:rsidRPr="00AB09ED">
              <w:t xml:space="preserve"> body </w:t>
            </w:r>
            <w:r>
              <w:t>to</w:t>
            </w:r>
            <w:r w:rsidRPr="00AB09ED">
              <w:t xml:space="preserve"> submit notic</w:t>
            </w:r>
            <w:r w:rsidRPr="00AB09ED">
              <w:t xml:space="preserve">e of the extension to the </w:t>
            </w:r>
            <w:r>
              <w:t xml:space="preserve">attorney general's </w:t>
            </w:r>
            <w:r>
              <w:t>office</w:t>
            </w:r>
            <w:r>
              <w:t xml:space="preserve"> on a form prescribed by the office</w:t>
            </w:r>
            <w:r>
              <w:t xml:space="preserve">. </w:t>
            </w:r>
          </w:p>
          <w:p w:rsidR="00CA2BE1" w:rsidRDefault="00586C39" w:rsidP="00EB1BE4">
            <w:pPr>
              <w:pStyle w:val="Header"/>
              <w:jc w:val="both"/>
            </w:pPr>
          </w:p>
          <w:p w:rsidR="00CA2BE1" w:rsidRDefault="00586C39" w:rsidP="00EB1BE4">
            <w:pPr>
              <w:pStyle w:val="Header"/>
              <w:jc w:val="both"/>
            </w:pPr>
            <w:r>
              <w:t xml:space="preserve">S.B. 494 </w:t>
            </w:r>
            <w:r w:rsidRPr="00E24B00">
              <w:t>requires the office to</w:t>
            </w:r>
            <w:r>
              <w:t>:</w:t>
            </w:r>
          </w:p>
          <w:p w:rsidR="00F831A2" w:rsidRDefault="00586C39" w:rsidP="00EB1BE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as soon as practicable after the bill's effective date, p</w:t>
            </w:r>
            <w:r w:rsidRPr="00E24B00">
              <w:t>rescribe the</w:t>
            </w:r>
            <w:r>
              <w:t xml:space="preserve"> </w:t>
            </w:r>
            <w:r w:rsidRPr="00E24B00">
              <w:t xml:space="preserve">form of the </w:t>
            </w:r>
            <w:r>
              <w:t xml:space="preserve">suspension </w:t>
            </w:r>
            <w:r w:rsidRPr="00E24B00">
              <w:t>notice</w:t>
            </w:r>
            <w:r>
              <w:t xml:space="preserve">, which must require the </w:t>
            </w:r>
            <w:r>
              <w:t>government</w:t>
            </w:r>
            <w:r>
              <w:t>al</w:t>
            </w:r>
            <w:r>
              <w:t xml:space="preserve"> body to provide specified information relating</w:t>
            </w:r>
            <w:r>
              <w:t xml:space="preserve"> to</w:t>
            </w:r>
            <w:r>
              <w:t xml:space="preserve"> the initial suspension and to an extension, if applicable; and</w:t>
            </w:r>
          </w:p>
          <w:p w:rsidR="00E24B00" w:rsidRDefault="00586C39" w:rsidP="00FC6BC9">
            <w:pPr>
              <w:pStyle w:val="Header"/>
              <w:numPr>
                <w:ilvl w:val="0"/>
                <w:numId w:val="5"/>
              </w:numPr>
              <w:jc w:val="both"/>
            </w:pPr>
            <w:r w:rsidRPr="002E514C">
              <w:t xml:space="preserve">continuously post on </w:t>
            </w:r>
            <w:r>
              <w:t>its</w:t>
            </w:r>
            <w:r w:rsidRPr="002E514C">
              <w:t xml:space="preserve"> website each</w:t>
            </w:r>
            <w:r>
              <w:t xml:space="preserve"> submitted</w:t>
            </w:r>
            <w:r w:rsidRPr="002E514C">
              <w:t xml:space="preserve"> notice from the date the office receives the notice until the first anniversary of that date.</w:t>
            </w:r>
          </w:p>
          <w:p w:rsidR="00E24B00" w:rsidRDefault="00586C39" w:rsidP="00EB1BE4">
            <w:pPr>
              <w:pStyle w:val="Header"/>
              <w:jc w:val="both"/>
            </w:pPr>
          </w:p>
          <w:p w:rsidR="00F831A2" w:rsidRDefault="00586C39" w:rsidP="00EB1BE4">
            <w:pPr>
              <w:pStyle w:val="Header"/>
              <w:jc w:val="both"/>
            </w:pPr>
            <w:r>
              <w:t>S.B. 494</w:t>
            </w:r>
            <w:r>
              <w:t xml:space="preserve"> requires a</w:t>
            </w:r>
            <w:r w:rsidRPr="00AB09ED">
              <w:t xml:space="preserve"> </w:t>
            </w:r>
            <w:r>
              <w:t xml:space="preserve">governmental </w:t>
            </w:r>
            <w:r w:rsidRPr="00AB09ED">
              <w:t xml:space="preserve">body that suspends the applicability of </w:t>
            </w:r>
            <w:r>
              <w:t xml:space="preserve">state public information law </w:t>
            </w:r>
            <w:r w:rsidRPr="00AB09ED">
              <w:t xml:space="preserve">requirements </w:t>
            </w:r>
            <w:r>
              <w:t>to</w:t>
            </w:r>
            <w:r>
              <w:t>:</w:t>
            </w:r>
            <w:r w:rsidRPr="00AB09ED">
              <w:t xml:space="preserve"> </w:t>
            </w:r>
          </w:p>
          <w:p w:rsidR="00F831A2" w:rsidRDefault="00586C39" w:rsidP="00EB1BE4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p</w:t>
            </w:r>
            <w:r w:rsidRPr="00AB09ED">
              <w:t>rovide</w:t>
            </w:r>
            <w:r>
              <w:t xml:space="preserve"> public</w:t>
            </w:r>
            <w:r w:rsidRPr="00AB09ED">
              <w:t xml:space="preserve"> notice</w:t>
            </w:r>
            <w:r>
              <w:t xml:space="preserve"> </w:t>
            </w:r>
            <w:r w:rsidRPr="00AB09ED">
              <w:t xml:space="preserve">of the suspension </w:t>
            </w:r>
            <w:r w:rsidRPr="00AB09ED">
              <w:t>in a place readily accessible to the public and in each other location the body is required to post a</w:t>
            </w:r>
            <w:r>
              <w:t xml:space="preserve"> meeting</w:t>
            </w:r>
            <w:r w:rsidRPr="00AB09ED">
              <w:t xml:space="preserve"> notice under </w:t>
            </w:r>
            <w:r>
              <w:t>state</w:t>
            </w:r>
            <w:r>
              <w:t xml:space="preserve"> open meetings</w:t>
            </w:r>
            <w:r>
              <w:t xml:space="preserve"> law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657195" w:rsidRDefault="00586C39" w:rsidP="00EB1BE4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AB09ED">
              <w:t>maintain the notice of the suspension during the suspension period.</w:t>
            </w:r>
            <w:r>
              <w:t xml:space="preserve"> </w:t>
            </w:r>
          </w:p>
          <w:p w:rsidR="008423E4" w:rsidRDefault="00586C39" w:rsidP="00EB1BE4">
            <w:pPr>
              <w:pStyle w:val="Header"/>
              <w:jc w:val="both"/>
            </w:pPr>
            <w:r>
              <w:t xml:space="preserve">The bill </w:t>
            </w:r>
            <w:r>
              <w:t>establishes that a reques</w:t>
            </w:r>
            <w:r>
              <w:t>t</w:t>
            </w:r>
            <w:r>
              <w:t xml:space="preserve"> </w:t>
            </w:r>
            <w:r>
              <w:t>for public information received by a governmental body during a suspension period is considered to have been received by the body on the first business day after the date the suspension period ends</w:t>
            </w:r>
            <w:r>
              <w:t xml:space="preserve"> and further</w:t>
            </w:r>
            <w:r>
              <w:t xml:space="preserve"> establishes that the requirements </w:t>
            </w:r>
            <w:r>
              <w:t>of state p</w:t>
            </w:r>
            <w:r>
              <w:t xml:space="preserve">ublic information law </w:t>
            </w:r>
            <w:r>
              <w:t xml:space="preserve">related to a request for public information received by a </w:t>
            </w:r>
            <w:r>
              <w:t xml:space="preserve">governmental </w:t>
            </w:r>
            <w:r>
              <w:t>body before the date an initial suspension period begins are tolled until the first business day after the date the suspension period ends.</w:t>
            </w:r>
          </w:p>
          <w:p w:rsidR="002274C1" w:rsidRPr="00835628" w:rsidRDefault="00586C39" w:rsidP="00EB1BE4">
            <w:pPr>
              <w:pStyle w:val="Header"/>
              <w:jc w:val="both"/>
              <w:rPr>
                <w:b/>
              </w:rPr>
            </w:pPr>
          </w:p>
        </w:tc>
      </w:tr>
      <w:tr w:rsidR="00EF22F1" w:rsidTr="00D63BDB">
        <w:tc>
          <w:tcPr>
            <w:tcW w:w="9576" w:type="dxa"/>
          </w:tcPr>
          <w:p w:rsidR="008423E4" w:rsidRPr="00A8133F" w:rsidRDefault="00586C39" w:rsidP="00EB1B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6C39" w:rsidP="00EB1BE4"/>
          <w:p w:rsidR="008423E4" w:rsidRPr="003624F2" w:rsidRDefault="00586C39" w:rsidP="00EB1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86C39" w:rsidP="00EB1BE4">
            <w:pPr>
              <w:rPr>
                <w:b/>
              </w:rPr>
            </w:pPr>
          </w:p>
        </w:tc>
      </w:tr>
      <w:tr w:rsidR="00EF22F1" w:rsidTr="00D63BDB">
        <w:tc>
          <w:tcPr>
            <w:tcW w:w="9576" w:type="dxa"/>
          </w:tcPr>
          <w:p w:rsidR="00CB192F" w:rsidRPr="00CB192F" w:rsidRDefault="00586C39" w:rsidP="00EB1BE4">
            <w:pPr>
              <w:jc w:val="both"/>
            </w:pPr>
          </w:p>
        </w:tc>
      </w:tr>
      <w:tr w:rsidR="00EF22F1" w:rsidTr="00D63BDB">
        <w:tc>
          <w:tcPr>
            <w:tcW w:w="9576" w:type="dxa"/>
          </w:tcPr>
          <w:p w:rsidR="006C0D10" w:rsidRPr="009C1E9A" w:rsidRDefault="00586C39" w:rsidP="00EB1BE4">
            <w:pPr>
              <w:rPr>
                <w:b/>
                <w:u w:val="single"/>
              </w:rPr>
            </w:pPr>
          </w:p>
        </w:tc>
      </w:tr>
      <w:tr w:rsidR="00EF22F1" w:rsidTr="00D63BDB">
        <w:tc>
          <w:tcPr>
            <w:tcW w:w="9576" w:type="dxa"/>
          </w:tcPr>
          <w:p w:rsidR="006C0D10" w:rsidRPr="006C0D10" w:rsidRDefault="00586C39" w:rsidP="00EB1BE4">
            <w:pPr>
              <w:jc w:val="both"/>
            </w:pPr>
          </w:p>
        </w:tc>
      </w:tr>
    </w:tbl>
    <w:p w:rsidR="008423E4" w:rsidRPr="00BE0E75" w:rsidRDefault="00586C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6C3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6C39">
      <w:r>
        <w:separator/>
      </w:r>
    </w:p>
  </w:endnote>
  <w:endnote w:type="continuationSeparator" w:id="0">
    <w:p w:rsidR="00000000" w:rsidRDefault="005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22F1" w:rsidTr="009C1E9A">
      <w:trPr>
        <w:cantSplit/>
      </w:trPr>
      <w:tc>
        <w:tcPr>
          <w:tcW w:w="0" w:type="pct"/>
        </w:tcPr>
        <w:p w:rsidR="00137D90" w:rsidRDefault="00586C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6C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6C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6C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6C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22F1" w:rsidTr="009C1E9A">
      <w:trPr>
        <w:cantSplit/>
      </w:trPr>
      <w:tc>
        <w:tcPr>
          <w:tcW w:w="0" w:type="pct"/>
        </w:tcPr>
        <w:p w:rsidR="00EC379B" w:rsidRDefault="00586C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6C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30098</w:t>
          </w:r>
        </w:p>
      </w:tc>
      <w:tc>
        <w:tcPr>
          <w:tcW w:w="2453" w:type="pct"/>
        </w:tcPr>
        <w:p w:rsidR="00EC379B" w:rsidRDefault="00586C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19.117.153</w:t>
          </w:r>
          <w:r>
            <w:fldChar w:fldCharType="end"/>
          </w:r>
        </w:p>
      </w:tc>
    </w:tr>
    <w:tr w:rsidR="00EF22F1" w:rsidTr="009C1E9A">
      <w:trPr>
        <w:cantSplit/>
      </w:trPr>
      <w:tc>
        <w:tcPr>
          <w:tcW w:w="0" w:type="pct"/>
        </w:tcPr>
        <w:p w:rsidR="00EC379B" w:rsidRDefault="00586C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6C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86C39" w:rsidP="006D504F">
          <w:pPr>
            <w:pStyle w:val="Footer"/>
            <w:rPr>
              <w:rStyle w:val="PageNumber"/>
            </w:rPr>
          </w:pPr>
        </w:p>
        <w:p w:rsidR="00EC379B" w:rsidRDefault="00586C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22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6C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86C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6C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6C39">
      <w:r>
        <w:separator/>
      </w:r>
    </w:p>
  </w:footnote>
  <w:footnote w:type="continuationSeparator" w:id="0">
    <w:p w:rsidR="00000000" w:rsidRDefault="0058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86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D44"/>
    <w:multiLevelType w:val="hybridMultilevel"/>
    <w:tmpl w:val="EDC2B144"/>
    <w:lvl w:ilvl="0" w:tplc="2124A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CA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AC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8D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88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6E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46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4F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2B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0B7"/>
    <w:multiLevelType w:val="hybridMultilevel"/>
    <w:tmpl w:val="F3D8440A"/>
    <w:lvl w:ilvl="0" w:tplc="50EA8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47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29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E0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E1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C4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4B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C0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23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238"/>
    <w:multiLevelType w:val="hybridMultilevel"/>
    <w:tmpl w:val="44D8827C"/>
    <w:lvl w:ilvl="0" w:tplc="0226D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C4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AA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42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C0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86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5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61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C7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11D62"/>
    <w:multiLevelType w:val="hybridMultilevel"/>
    <w:tmpl w:val="FA949F42"/>
    <w:lvl w:ilvl="0" w:tplc="1F28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8C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0E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0D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0F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E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8C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B57"/>
    <w:multiLevelType w:val="hybridMultilevel"/>
    <w:tmpl w:val="5150DE0C"/>
    <w:lvl w:ilvl="0" w:tplc="B3926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2D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E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0F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61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42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8F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6A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9E5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A7430"/>
    <w:multiLevelType w:val="hybridMultilevel"/>
    <w:tmpl w:val="30C42F80"/>
    <w:lvl w:ilvl="0" w:tplc="6630C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2B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A5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CD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2D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66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0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4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A8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1"/>
    <w:rsid w:val="00586C39"/>
    <w:rsid w:val="00E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7F532-80F2-4A09-A6F0-97A8FAB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0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1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170"/>
    <w:rPr>
      <w:b/>
      <w:bCs/>
    </w:rPr>
  </w:style>
  <w:style w:type="character" w:styleId="Hyperlink">
    <w:name w:val="Hyperlink"/>
    <w:basedOn w:val="DefaultParagraphFont"/>
    <w:unhideWhenUsed/>
    <w:rsid w:val="00392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74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0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4600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SB00494 (Committee Report (Unamended))</vt:lpstr>
    </vt:vector>
  </TitlesOfParts>
  <Company>State of Texas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30098</dc:subject>
  <dc:creator>State of Texas</dc:creator>
  <dc:description>SB 494 by Huffman-(H)State Affairs</dc:description>
  <cp:lastModifiedBy>Scotty Wimberley</cp:lastModifiedBy>
  <cp:revision>2</cp:revision>
  <cp:lastPrinted>2003-11-26T17:21:00Z</cp:lastPrinted>
  <dcterms:created xsi:type="dcterms:W3CDTF">2019-04-30T20:13:00Z</dcterms:created>
  <dcterms:modified xsi:type="dcterms:W3CDTF">2019-04-30T20:13:00Z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19.117.153</vt:lpwstr>
  </property>
</Properties>
</file>