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B6012" w:rsidTr="00345119">
        <w:tc>
          <w:tcPr>
            <w:tcW w:w="9576" w:type="dxa"/>
            <w:noWrap/>
          </w:tcPr>
          <w:p w:rsidR="008423E4" w:rsidRPr="0022177D" w:rsidRDefault="00F750F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750FC" w:rsidP="008423E4">
      <w:pPr>
        <w:jc w:val="center"/>
      </w:pPr>
    </w:p>
    <w:p w:rsidR="008423E4" w:rsidRPr="00B31F0E" w:rsidRDefault="00F750FC" w:rsidP="008423E4"/>
    <w:p w:rsidR="008423E4" w:rsidRPr="00742794" w:rsidRDefault="00F750F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B6012" w:rsidTr="00345119">
        <w:tc>
          <w:tcPr>
            <w:tcW w:w="9576" w:type="dxa"/>
          </w:tcPr>
          <w:p w:rsidR="008423E4" w:rsidRPr="00861995" w:rsidRDefault="00F750FC" w:rsidP="00345119">
            <w:pPr>
              <w:jc w:val="right"/>
            </w:pPr>
            <w:r>
              <w:t>S.B. 498</w:t>
            </w:r>
          </w:p>
        </w:tc>
      </w:tr>
      <w:tr w:rsidR="001B6012" w:rsidTr="00345119">
        <w:tc>
          <w:tcPr>
            <w:tcW w:w="9576" w:type="dxa"/>
          </w:tcPr>
          <w:p w:rsidR="008423E4" w:rsidRPr="00861995" w:rsidRDefault="00F750FC" w:rsidP="00345119">
            <w:pPr>
              <w:jc w:val="right"/>
            </w:pPr>
            <w:r>
              <w:t xml:space="preserve">By: </w:t>
            </w:r>
            <w:r>
              <w:t>Huffman</w:t>
            </w:r>
          </w:p>
        </w:tc>
      </w:tr>
      <w:tr w:rsidR="001B6012" w:rsidTr="00345119">
        <w:tc>
          <w:tcPr>
            <w:tcW w:w="9576" w:type="dxa"/>
          </w:tcPr>
          <w:p w:rsidR="008423E4" w:rsidRPr="00861995" w:rsidRDefault="00F750FC" w:rsidP="00345119">
            <w:pPr>
              <w:jc w:val="right"/>
            </w:pPr>
            <w:r>
              <w:t>Business &amp; Industry</w:t>
            </w:r>
          </w:p>
        </w:tc>
      </w:tr>
      <w:tr w:rsidR="001B6012" w:rsidTr="00345119">
        <w:tc>
          <w:tcPr>
            <w:tcW w:w="9576" w:type="dxa"/>
          </w:tcPr>
          <w:p w:rsidR="008423E4" w:rsidRDefault="00F750F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750FC" w:rsidP="008423E4">
      <w:pPr>
        <w:tabs>
          <w:tab w:val="right" w:pos="9360"/>
        </w:tabs>
      </w:pPr>
    </w:p>
    <w:p w:rsidR="008423E4" w:rsidRDefault="00F750FC" w:rsidP="008423E4"/>
    <w:p w:rsidR="008423E4" w:rsidRDefault="00F750F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B6012" w:rsidTr="00345119">
        <w:tc>
          <w:tcPr>
            <w:tcW w:w="9576" w:type="dxa"/>
          </w:tcPr>
          <w:p w:rsidR="008423E4" w:rsidRPr="00A8133F" w:rsidRDefault="00F750FC" w:rsidP="00B269F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750FC" w:rsidP="00B269F0"/>
          <w:p w:rsidR="00E5731A" w:rsidRDefault="00F750FC" w:rsidP="00B269F0">
            <w:pPr>
              <w:pStyle w:val="Header"/>
              <w:jc w:val="both"/>
            </w:pPr>
            <w:r>
              <w:t>It has been suggested that further</w:t>
            </w:r>
            <w:r>
              <w:t xml:space="preserve"> legal remedies are needed to prevent the proliferation of illicit massage businesses. S.B. 498 seeks to provide such remedies by adding </w:t>
            </w:r>
            <w:r>
              <w:t xml:space="preserve">operation of a massage establishment that does not comply with state law or local ordinance </w:t>
            </w:r>
            <w:r>
              <w:t xml:space="preserve">to the unlawful activities </w:t>
            </w:r>
            <w:r>
              <w:t xml:space="preserve">that constitute grounds for a commercial landlord to reclaim possession of rental premises. The bill also authorizes a tenant of </w:t>
            </w:r>
            <w:r>
              <w:t xml:space="preserve">a multiunit commercial property </w:t>
            </w:r>
            <w:r>
              <w:t>to terminate a lease without penalty if the tenant notifies the landlord of certain possible un</w:t>
            </w:r>
            <w:r>
              <w:t>lawful activity by another tenant and the landlord fails to take legal action.</w:t>
            </w:r>
            <w:r>
              <w:t xml:space="preserve"> </w:t>
            </w:r>
          </w:p>
          <w:p w:rsidR="008423E4" w:rsidRPr="00E26B13" w:rsidRDefault="00F750FC" w:rsidP="00B269F0">
            <w:pPr>
              <w:pStyle w:val="Header"/>
              <w:jc w:val="both"/>
              <w:rPr>
                <w:b/>
              </w:rPr>
            </w:pPr>
          </w:p>
        </w:tc>
      </w:tr>
      <w:tr w:rsidR="001B6012" w:rsidTr="00345119">
        <w:tc>
          <w:tcPr>
            <w:tcW w:w="9576" w:type="dxa"/>
          </w:tcPr>
          <w:p w:rsidR="0017725B" w:rsidRDefault="00F750FC" w:rsidP="00B269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750FC" w:rsidP="00B269F0">
            <w:pPr>
              <w:rPr>
                <w:b/>
                <w:u w:val="single"/>
              </w:rPr>
            </w:pPr>
          </w:p>
          <w:p w:rsidR="0065360F" w:rsidRPr="0065360F" w:rsidRDefault="00F750FC" w:rsidP="00B269F0">
            <w:pPr>
              <w:jc w:val="both"/>
            </w:pPr>
            <w:r>
              <w:t>It is the committee's opinion that this bill does not expressly create a criminal offense, increase the punishment for an existing criminal offense o</w:t>
            </w:r>
            <w:r>
              <w:t>r category of offenses, or change the eligibility of a person for community supervision, parole, or mandatory supervision.</w:t>
            </w:r>
          </w:p>
          <w:p w:rsidR="0017725B" w:rsidRPr="0017725B" w:rsidRDefault="00F750FC" w:rsidP="00B269F0">
            <w:pPr>
              <w:rPr>
                <w:b/>
                <w:u w:val="single"/>
              </w:rPr>
            </w:pPr>
          </w:p>
        </w:tc>
      </w:tr>
      <w:tr w:rsidR="001B6012" w:rsidTr="00345119">
        <w:tc>
          <w:tcPr>
            <w:tcW w:w="9576" w:type="dxa"/>
          </w:tcPr>
          <w:p w:rsidR="008423E4" w:rsidRPr="00A8133F" w:rsidRDefault="00F750FC" w:rsidP="00B269F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750FC" w:rsidP="00B269F0"/>
          <w:p w:rsidR="0065360F" w:rsidRDefault="00F750FC" w:rsidP="00B269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</w:t>
            </w:r>
            <w:r>
              <w:t xml:space="preserve"> a state officer, department, agency, or institution.</w:t>
            </w:r>
          </w:p>
          <w:p w:rsidR="008423E4" w:rsidRPr="00E21FDC" w:rsidRDefault="00F750FC" w:rsidP="00B269F0">
            <w:pPr>
              <w:rPr>
                <w:b/>
              </w:rPr>
            </w:pPr>
          </w:p>
        </w:tc>
      </w:tr>
      <w:tr w:rsidR="001B6012" w:rsidTr="00345119">
        <w:tc>
          <w:tcPr>
            <w:tcW w:w="9576" w:type="dxa"/>
          </w:tcPr>
          <w:p w:rsidR="008423E4" w:rsidRPr="00A8133F" w:rsidRDefault="00F750FC" w:rsidP="00B269F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750FC" w:rsidP="00B269F0"/>
          <w:p w:rsidR="00265E12" w:rsidRDefault="00F750FC" w:rsidP="00B269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498</w:t>
            </w:r>
            <w:r>
              <w:t xml:space="preserve"> amends the Property Code to </w:t>
            </w:r>
            <w:r>
              <w:t>establish that a commercial tenant's</w:t>
            </w:r>
            <w:r>
              <w:t xml:space="preserve"> right of possession terminates and the landlord has a right to recover possession of the leased premises if the tenant is using the premises or allowing the premises to be used for the purposes of operating, maintaining, or advertising a massage establish</w:t>
            </w:r>
            <w:r>
              <w:t>ment that is not in compliance with Occupations Code provisions relating to the</w:t>
            </w:r>
            <w:r>
              <w:t xml:space="preserve"> licensing and</w:t>
            </w:r>
            <w:r>
              <w:t xml:space="preserve"> regulation of massage therapy or an applicable local ordinance</w:t>
            </w:r>
            <w:r>
              <w:t xml:space="preserve"> relating to </w:t>
            </w:r>
            <w:r>
              <w:t>the</w:t>
            </w:r>
            <w:r>
              <w:t xml:space="preserve"> licen</w:t>
            </w:r>
            <w:r>
              <w:t xml:space="preserve">sing and regulation of </w:t>
            </w:r>
            <w:r>
              <w:t>such an</w:t>
            </w:r>
            <w:r>
              <w:t xml:space="preserve"> establishment.</w:t>
            </w:r>
          </w:p>
          <w:p w:rsidR="00265E12" w:rsidRDefault="00F750FC" w:rsidP="00B269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265E12" w:rsidRDefault="00F750FC" w:rsidP="00B269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498 establishes that a lan</w:t>
            </w:r>
            <w:r>
              <w:t xml:space="preserve">dlord of a multiunit commercial property is in breach of a lease with a tenant </w:t>
            </w:r>
            <w:r>
              <w:t>who</w:t>
            </w:r>
            <w:r>
              <w:t xml:space="preserve"> reasonably believes that another tenant in the same multiunit commercial property is engaging in </w:t>
            </w:r>
            <w:r>
              <w:t xml:space="preserve">certain </w:t>
            </w:r>
            <w:r>
              <w:t>unlawful activity</w:t>
            </w:r>
            <w:r>
              <w:t xml:space="preserve"> if</w:t>
            </w:r>
            <w:r>
              <w:t xml:space="preserve"> </w:t>
            </w:r>
            <w:r>
              <w:t>the complaining tenant gives the landlord writt</w:t>
            </w:r>
            <w:r>
              <w:t>en notice of the offending tenant's engagement in the unlawful activity and</w:t>
            </w:r>
            <w:r>
              <w:t xml:space="preserve"> </w:t>
            </w:r>
            <w:r>
              <w:t xml:space="preserve">the landlord does not file a forcible detainer suit for </w:t>
            </w:r>
            <w:r>
              <w:t>the</w:t>
            </w:r>
            <w:r>
              <w:t xml:space="preserve"> </w:t>
            </w:r>
            <w:r>
              <w:t>unlawful use</w:t>
            </w:r>
            <w:r>
              <w:t xml:space="preserve"> of premises against the offending tenant before the 30th day after the </w:t>
            </w:r>
            <w:r>
              <w:t xml:space="preserve">notice </w:t>
            </w:r>
            <w:r>
              <w:t>date.</w:t>
            </w:r>
            <w:r>
              <w:t xml:space="preserve"> The bill </w:t>
            </w:r>
            <w:r>
              <w:t>provides for t</w:t>
            </w:r>
            <w:r>
              <w:t xml:space="preserve">he meaning of "multiunit commercial property" and </w:t>
            </w:r>
            <w:r>
              <w:t>defines "unlawful activity" for this purpose as the following</w:t>
            </w:r>
            <w:r>
              <w:t xml:space="preserve"> offenses or activities</w:t>
            </w:r>
            <w:r>
              <w:t>:</w:t>
            </w:r>
          </w:p>
          <w:p w:rsidR="00844C6F" w:rsidRDefault="00F750FC" w:rsidP="00B269F0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>prostitution, promotion of prostitution, aggravated promotion of prostitution, or compelling prostitution;</w:t>
            </w:r>
          </w:p>
          <w:p w:rsidR="00844C6F" w:rsidRDefault="00F750FC" w:rsidP="00B269F0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>trafficking o</w:t>
            </w:r>
            <w:r>
              <w:t>f persons; or</w:t>
            </w:r>
          </w:p>
          <w:p w:rsidR="00844C6F" w:rsidRDefault="00F750FC" w:rsidP="00B269F0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>operating, maintaining, or advertising a massage establishment</w:t>
            </w:r>
            <w:r>
              <w:t xml:space="preserve"> </w:t>
            </w:r>
            <w:r w:rsidRPr="00692C16">
              <w:t>that is not in compliance with Occupations Code provisions relating to the licensing and regulation of massage therapy or an applicable local ordinance relating to the licensing a</w:t>
            </w:r>
            <w:r w:rsidRPr="00692C16">
              <w:t>nd regulation of such an establishment</w:t>
            </w:r>
            <w:r>
              <w:t xml:space="preserve">. </w:t>
            </w:r>
          </w:p>
          <w:p w:rsidR="00265E12" w:rsidRDefault="00F750FC" w:rsidP="00B269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authorizes a tenant</w:t>
            </w:r>
            <w:r>
              <w:t xml:space="preserve"> whose</w:t>
            </w:r>
            <w:r>
              <w:t xml:space="preserve"> landlord is in breach of the tenant's lease </w:t>
            </w:r>
            <w:r>
              <w:t>on the grounds described by the bill</w:t>
            </w:r>
            <w:r>
              <w:t xml:space="preserve"> to terminate the tenant's rights and obligations under the lease</w:t>
            </w:r>
            <w:r>
              <w:t xml:space="preserve">, </w:t>
            </w:r>
            <w:r>
              <w:t>vacate the leased premises</w:t>
            </w:r>
            <w:r>
              <w:t xml:space="preserve">, </w:t>
            </w:r>
            <w:r>
              <w:t>and</w:t>
            </w:r>
            <w:r>
              <w:t xml:space="preserve"> </w:t>
            </w:r>
            <w:r>
              <w:t>a</w:t>
            </w:r>
            <w:r>
              <w:t>void liability for future rent and any other sums due under the lease for terminating the lease and vacating the premises before the end of the lease term.</w:t>
            </w:r>
          </w:p>
          <w:p w:rsidR="00692C16" w:rsidRDefault="00F750FC" w:rsidP="00B269F0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</w:p>
          <w:p w:rsidR="00265E12" w:rsidRDefault="00F750FC" w:rsidP="00971D46">
            <w:pPr>
              <w:pStyle w:val="Header"/>
              <w:spacing w:after="120"/>
              <w:jc w:val="both"/>
            </w:pPr>
            <w:r>
              <w:t xml:space="preserve">S.B. 498 </w:t>
            </w:r>
            <w:r>
              <w:t xml:space="preserve">expressly does not prohibit a landlord from pursuing a civil action against a </w:t>
            </w:r>
            <w:r w:rsidRPr="006B33AA">
              <w:t xml:space="preserve">complaining </w:t>
            </w:r>
            <w:r w:rsidRPr="006B33AA">
              <w:t xml:space="preserve">tenant for any amount due under the </w:t>
            </w:r>
            <w:r>
              <w:t xml:space="preserve">complaining </w:t>
            </w:r>
            <w:r w:rsidRPr="00150572">
              <w:t xml:space="preserve">tenant's lease if, after the landlord investigates the offending tenant, the landlord determines </w:t>
            </w:r>
            <w:r>
              <w:t xml:space="preserve">that </w:t>
            </w:r>
            <w:r w:rsidRPr="00150572">
              <w:t xml:space="preserve">the complaining tenant's belief </w:t>
            </w:r>
            <w:r>
              <w:t>regarding the unlawful activity</w:t>
            </w:r>
            <w:r>
              <w:t>,</w:t>
            </w:r>
            <w:r w:rsidRPr="00150572">
              <w:t xml:space="preserve"> as stated in the </w:t>
            </w:r>
            <w:r>
              <w:t xml:space="preserve">complaining tenant's </w:t>
            </w:r>
            <w:r w:rsidRPr="00150572">
              <w:t>wri</w:t>
            </w:r>
            <w:r w:rsidRPr="00150572">
              <w:t>tten</w:t>
            </w:r>
            <w:r>
              <w:t xml:space="preserve"> notice</w:t>
            </w:r>
            <w:r>
              <w:t xml:space="preserve"> </w:t>
            </w:r>
            <w:r>
              <w:t xml:space="preserve">to the landlord, </w:t>
            </w:r>
            <w:r>
              <w:t xml:space="preserve">was not reasonable. The bill establishes </w:t>
            </w:r>
            <w:r>
              <w:t xml:space="preserve">a rebuttable presumption </w:t>
            </w:r>
            <w:r>
              <w:t xml:space="preserve">in such </w:t>
            </w:r>
            <w:r>
              <w:t xml:space="preserve">a </w:t>
            </w:r>
            <w:r>
              <w:t xml:space="preserve">civil action </w:t>
            </w:r>
            <w:r w:rsidRPr="0065360F">
              <w:t xml:space="preserve">that a complaining tenant's belief regarding an offending tenant's engagement in unlawful activity is reasonable if the complaining tenant gave the </w:t>
            </w:r>
            <w:r>
              <w:t>required notice</w:t>
            </w:r>
            <w:r>
              <w:t xml:space="preserve"> to the landlord</w:t>
            </w:r>
            <w:r>
              <w:t xml:space="preserve">.   </w:t>
            </w:r>
          </w:p>
          <w:p w:rsidR="008423E4" w:rsidRPr="00835628" w:rsidRDefault="00F750FC" w:rsidP="00B269F0">
            <w:pPr>
              <w:rPr>
                <w:b/>
              </w:rPr>
            </w:pPr>
          </w:p>
        </w:tc>
      </w:tr>
      <w:tr w:rsidR="001B6012" w:rsidTr="00345119">
        <w:tc>
          <w:tcPr>
            <w:tcW w:w="9576" w:type="dxa"/>
          </w:tcPr>
          <w:p w:rsidR="008423E4" w:rsidRPr="00A8133F" w:rsidRDefault="00F750FC" w:rsidP="00B269F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750FC" w:rsidP="00B269F0"/>
          <w:p w:rsidR="008423E4" w:rsidRPr="003624F2" w:rsidRDefault="00F750FC" w:rsidP="00B269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F750FC" w:rsidP="00B269F0">
            <w:pPr>
              <w:rPr>
                <w:b/>
              </w:rPr>
            </w:pPr>
          </w:p>
        </w:tc>
      </w:tr>
    </w:tbl>
    <w:p w:rsidR="008423E4" w:rsidRPr="00BE0E75" w:rsidRDefault="00F750F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750FC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50FC">
      <w:r>
        <w:separator/>
      </w:r>
    </w:p>
  </w:endnote>
  <w:endnote w:type="continuationSeparator" w:id="0">
    <w:p w:rsidR="00000000" w:rsidRDefault="00F7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75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B6012" w:rsidTr="009C1E9A">
      <w:trPr>
        <w:cantSplit/>
      </w:trPr>
      <w:tc>
        <w:tcPr>
          <w:tcW w:w="0" w:type="pct"/>
        </w:tcPr>
        <w:p w:rsidR="00137D90" w:rsidRDefault="00F750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750F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750F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750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750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6012" w:rsidTr="009C1E9A">
      <w:trPr>
        <w:cantSplit/>
      </w:trPr>
      <w:tc>
        <w:tcPr>
          <w:tcW w:w="0" w:type="pct"/>
        </w:tcPr>
        <w:p w:rsidR="00EC379B" w:rsidRDefault="00F750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750F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30236</w:t>
          </w:r>
        </w:p>
      </w:tc>
      <w:tc>
        <w:tcPr>
          <w:tcW w:w="2453" w:type="pct"/>
        </w:tcPr>
        <w:p w:rsidR="00EC379B" w:rsidRDefault="00F750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19.118.109</w:t>
          </w:r>
          <w:r>
            <w:fldChar w:fldCharType="end"/>
          </w:r>
        </w:p>
      </w:tc>
    </w:tr>
    <w:tr w:rsidR="001B6012" w:rsidTr="009C1E9A">
      <w:trPr>
        <w:cantSplit/>
      </w:trPr>
      <w:tc>
        <w:tcPr>
          <w:tcW w:w="0" w:type="pct"/>
        </w:tcPr>
        <w:p w:rsidR="00EC379B" w:rsidRDefault="00F750F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750F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750FC" w:rsidP="006D504F">
          <w:pPr>
            <w:pStyle w:val="Footer"/>
            <w:rPr>
              <w:rStyle w:val="PageNumber"/>
            </w:rPr>
          </w:pPr>
        </w:p>
        <w:p w:rsidR="00EC379B" w:rsidRDefault="00F750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601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750F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750F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750F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75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50FC">
      <w:r>
        <w:separator/>
      </w:r>
    </w:p>
  </w:footnote>
  <w:footnote w:type="continuationSeparator" w:id="0">
    <w:p w:rsidR="00000000" w:rsidRDefault="00F7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75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75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75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754"/>
    <w:multiLevelType w:val="hybridMultilevel"/>
    <w:tmpl w:val="EEA0FB7C"/>
    <w:lvl w:ilvl="0" w:tplc="80F4A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E2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A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A6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87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AA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E7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67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C1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70B9"/>
    <w:multiLevelType w:val="hybridMultilevel"/>
    <w:tmpl w:val="72C2F780"/>
    <w:lvl w:ilvl="0" w:tplc="C01A5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4F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AB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23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67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25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E7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E2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27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0468B"/>
    <w:multiLevelType w:val="hybridMultilevel"/>
    <w:tmpl w:val="F404F13A"/>
    <w:lvl w:ilvl="0" w:tplc="D534C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C4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0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E5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88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85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4A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A2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07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12"/>
    <w:rsid w:val="001B6012"/>
    <w:rsid w:val="00F7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05E9FE-E33F-4DD5-822F-F4B29A6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65E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5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5E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5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3331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SB00498 (Committee Report (Unamended))</vt:lpstr>
    </vt:vector>
  </TitlesOfParts>
  <Company>State of Texas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30236</dc:subject>
  <dc:creator>State of Texas</dc:creator>
  <dc:description>SB 498 by Huffman-(H)Business &amp; Industry</dc:description>
  <cp:lastModifiedBy>Scotty Wimberley</cp:lastModifiedBy>
  <cp:revision>2</cp:revision>
  <cp:lastPrinted>2003-11-26T17:21:00Z</cp:lastPrinted>
  <dcterms:created xsi:type="dcterms:W3CDTF">2019-05-15T15:45:00Z</dcterms:created>
  <dcterms:modified xsi:type="dcterms:W3CDTF">2019-05-15T15:45:00Z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19.118.109</vt:lpwstr>
  </property>
</Properties>
</file>