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C041F" w:rsidTr="00345119">
        <w:tc>
          <w:tcPr>
            <w:tcW w:w="9576" w:type="dxa"/>
            <w:noWrap/>
          </w:tcPr>
          <w:p w:rsidR="008423E4" w:rsidRPr="0022177D" w:rsidRDefault="00B71836" w:rsidP="00345119">
            <w:pPr>
              <w:pStyle w:val="Heading1"/>
            </w:pPr>
            <w:bookmarkStart w:id="0" w:name="_GoBack"/>
            <w:bookmarkEnd w:id="0"/>
            <w:r w:rsidRPr="00631897">
              <w:t>BILL ANALYSIS</w:t>
            </w:r>
          </w:p>
        </w:tc>
      </w:tr>
    </w:tbl>
    <w:p w:rsidR="008423E4" w:rsidRPr="0022177D" w:rsidRDefault="00B71836" w:rsidP="008423E4">
      <w:pPr>
        <w:jc w:val="center"/>
      </w:pPr>
    </w:p>
    <w:p w:rsidR="008423E4" w:rsidRPr="00B31F0E" w:rsidRDefault="00B71836" w:rsidP="008423E4"/>
    <w:p w:rsidR="008423E4" w:rsidRPr="00742794" w:rsidRDefault="00B71836" w:rsidP="008423E4">
      <w:pPr>
        <w:tabs>
          <w:tab w:val="right" w:pos="9360"/>
        </w:tabs>
      </w:pPr>
    </w:p>
    <w:tbl>
      <w:tblPr>
        <w:tblW w:w="0" w:type="auto"/>
        <w:tblLayout w:type="fixed"/>
        <w:tblLook w:val="01E0" w:firstRow="1" w:lastRow="1" w:firstColumn="1" w:lastColumn="1" w:noHBand="0" w:noVBand="0"/>
      </w:tblPr>
      <w:tblGrid>
        <w:gridCol w:w="9576"/>
      </w:tblGrid>
      <w:tr w:rsidR="00FC041F" w:rsidTr="00345119">
        <w:tc>
          <w:tcPr>
            <w:tcW w:w="9576" w:type="dxa"/>
          </w:tcPr>
          <w:p w:rsidR="008423E4" w:rsidRPr="00861995" w:rsidRDefault="00B71836" w:rsidP="00345119">
            <w:pPr>
              <w:jc w:val="right"/>
            </w:pPr>
            <w:r>
              <w:t>S.B. 530</w:t>
            </w:r>
          </w:p>
        </w:tc>
      </w:tr>
      <w:tr w:rsidR="00FC041F" w:rsidTr="00345119">
        <w:tc>
          <w:tcPr>
            <w:tcW w:w="9576" w:type="dxa"/>
          </w:tcPr>
          <w:p w:rsidR="008423E4" w:rsidRPr="00861995" w:rsidRDefault="00B71836" w:rsidP="00E50105">
            <w:pPr>
              <w:jc w:val="right"/>
            </w:pPr>
            <w:r>
              <w:t xml:space="preserve">By: </w:t>
            </w:r>
            <w:r>
              <w:t>Birdwell</w:t>
            </w:r>
          </w:p>
        </w:tc>
      </w:tr>
      <w:tr w:rsidR="00FC041F" w:rsidTr="00345119">
        <w:tc>
          <w:tcPr>
            <w:tcW w:w="9576" w:type="dxa"/>
          </w:tcPr>
          <w:p w:rsidR="008423E4" w:rsidRPr="00861995" w:rsidRDefault="00B71836" w:rsidP="00345119">
            <w:pPr>
              <w:jc w:val="right"/>
            </w:pPr>
            <w:r>
              <w:t>Environmental Regulation</w:t>
            </w:r>
          </w:p>
        </w:tc>
      </w:tr>
      <w:tr w:rsidR="00FC041F" w:rsidTr="00345119">
        <w:tc>
          <w:tcPr>
            <w:tcW w:w="9576" w:type="dxa"/>
          </w:tcPr>
          <w:p w:rsidR="008423E4" w:rsidRDefault="00B71836" w:rsidP="00345119">
            <w:pPr>
              <w:jc w:val="right"/>
            </w:pPr>
            <w:r>
              <w:t>Committee Report (Unamended)</w:t>
            </w:r>
          </w:p>
        </w:tc>
      </w:tr>
    </w:tbl>
    <w:p w:rsidR="008423E4" w:rsidRDefault="00B71836" w:rsidP="008423E4">
      <w:pPr>
        <w:tabs>
          <w:tab w:val="right" w:pos="9360"/>
        </w:tabs>
      </w:pPr>
    </w:p>
    <w:p w:rsidR="008423E4" w:rsidRDefault="00B71836" w:rsidP="008423E4"/>
    <w:p w:rsidR="008423E4" w:rsidRDefault="00B71836" w:rsidP="008423E4"/>
    <w:tbl>
      <w:tblPr>
        <w:tblW w:w="0" w:type="auto"/>
        <w:tblCellMar>
          <w:left w:w="115" w:type="dxa"/>
          <w:right w:w="115" w:type="dxa"/>
        </w:tblCellMar>
        <w:tblLook w:val="01E0" w:firstRow="1" w:lastRow="1" w:firstColumn="1" w:lastColumn="1" w:noHBand="0" w:noVBand="0"/>
      </w:tblPr>
      <w:tblGrid>
        <w:gridCol w:w="9576"/>
      </w:tblGrid>
      <w:tr w:rsidR="00FC041F" w:rsidTr="00345119">
        <w:tc>
          <w:tcPr>
            <w:tcW w:w="9576" w:type="dxa"/>
          </w:tcPr>
          <w:p w:rsidR="008423E4" w:rsidRPr="00A8133F" w:rsidRDefault="00B71836" w:rsidP="003D2974">
            <w:pPr>
              <w:rPr>
                <w:b/>
              </w:rPr>
            </w:pPr>
            <w:r w:rsidRPr="009C1E9A">
              <w:rPr>
                <w:b/>
                <w:u w:val="single"/>
              </w:rPr>
              <w:t>BACKGROUND AND PURPOSE</w:t>
            </w:r>
            <w:r>
              <w:rPr>
                <w:b/>
              </w:rPr>
              <w:t xml:space="preserve"> </w:t>
            </w:r>
          </w:p>
          <w:p w:rsidR="008423E4" w:rsidRDefault="00B71836" w:rsidP="003D2974"/>
          <w:p w:rsidR="008423E4" w:rsidRDefault="00B71836" w:rsidP="003D2974">
            <w:pPr>
              <w:pStyle w:val="Header"/>
              <w:jc w:val="both"/>
            </w:pPr>
            <w:r>
              <w:t>While state law authorizes</w:t>
            </w:r>
            <w:r>
              <w:t xml:space="preserve"> the Texas Commission on Environmental</w:t>
            </w:r>
            <w:r>
              <w:t xml:space="preserve"> </w:t>
            </w:r>
            <w:r>
              <w:t>Quality (TCEQ) to adopt rules to implement</w:t>
            </w:r>
            <w:r>
              <w:t xml:space="preserve"> and enforce</w:t>
            </w:r>
            <w:r>
              <w:t xml:space="preserve"> </w:t>
            </w:r>
            <w:r>
              <w:t xml:space="preserve">federal </w:t>
            </w:r>
            <w:r>
              <w:t>sanitary standards for drinking water, there have been calls for additional flexibility to allow TCEQ to penalize water suppliers who pay monetary penalties but do not undertake the necessary corrective actions ordered by TCEQ</w:t>
            </w:r>
            <w:r>
              <w:t>.</w:t>
            </w:r>
            <w:r>
              <w:t xml:space="preserve"> S.B. 530 seeks to provide th</w:t>
            </w:r>
            <w:r>
              <w:t>is flexibility by increasing</w:t>
            </w:r>
            <w:r>
              <w:t xml:space="preserve"> the maximum civil and administrative</w:t>
            </w:r>
            <w:r>
              <w:t xml:space="preserve"> </w:t>
            </w:r>
            <w:r>
              <w:t>penalty amount.</w:t>
            </w:r>
          </w:p>
          <w:p w:rsidR="008423E4" w:rsidRPr="00E26B13" w:rsidRDefault="00B71836" w:rsidP="003D2974">
            <w:pPr>
              <w:rPr>
                <w:b/>
              </w:rPr>
            </w:pPr>
          </w:p>
        </w:tc>
      </w:tr>
      <w:tr w:rsidR="00FC041F" w:rsidTr="00345119">
        <w:tc>
          <w:tcPr>
            <w:tcW w:w="9576" w:type="dxa"/>
          </w:tcPr>
          <w:p w:rsidR="0017725B" w:rsidRDefault="00B71836" w:rsidP="003D2974">
            <w:pPr>
              <w:rPr>
                <w:b/>
                <w:u w:val="single"/>
              </w:rPr>
            </w:pPr>
            <w:r>
              <w:rPr>
                <w:b/>
                <w:u w:val="single"/>
              </w:rPr>
              <w:t>CRIMINAL JUSTICE IMPACT</w:t>
            </w:r>
          </w:p>
          <w:p w:rsidR="0017725B" w:rsidRDefault="00B71836" w:rsidP="003D2974">
            <w:pPr>
              <w:rPr>
                <w:b/>
                <w:u w:val="single"/>
              </w:rPr>
            </w:pPr>
          </w:p>
          <w:p w:rsidR="009E21F7" w:rsidRPr="009E21F7" w:rsidRDefault="00B71836" w:rsidP="003D2974">
            <w:pPr>
              <w:jc w:val="both"/>
            </w:pPr>
            <w:r>
              <w:t>It is the committee's opinion that this bill does not expressly create a criminal offense, increase the punishment for an existing criminal offense</w:t>
            </w:r>
            <w:r>
              <w:t xml:space="preserve"> or category of offenses, or change the eligibility of a person for community supervision, parole, or mandatory supervision.</w:t>
            </w:r>
          </w:p>
          <w:p w:rsidR="0017725B" w:rsidRPr="0017725B" w:rsidRDefault="00B71836" w:rsidP="003D2974">
            <w:pPr>
              <w:rPr>
                <w:b/>
                <w:u w:val="single"/>
              </w:rPr>
            </w:pPr>
          </w:p>
        </w:tc>
      </w:tr>
      <w:tr w:rsidR="00FC041F" w:rsidTr="00345119">
        <w:tc>
          <w:tcPr>
            <w:tcW w:w="9576" w:type="dxa"/>
          </w:tcPr>
          <w:p w:rsidR="008423E4" w:rsidRPr="00A8133F" w:rsidRDefault="00B71836" w:rsidP="003D2974">
            <w:pPr>
              <w:rPr>
                <w:b/>
              </w:rPr>
            </w:pPr>
            <w:r w:rsidRPr="009C1E9A">
              <w:rPr>
                <w:b/>
                <w:u w:val="single"/>
              </w:rPr>
              <w:t>RULEMAKING AUTHORITY</w:t>
            </w:r>
            <w:r>
              <w:rPr>
                <w:b/>
              </w:rPr>
              <w:t xml:space="preserve"> </w:t>
            </w:r>
          </w:p>
          <w:p w:rsidR="008423E4" w:rsidRDefault="00B71836" w:rsidP="003D2974"/>
          <w:p w:rsidR="009E21F7" w:rsidRDefault="00B71836" w:rsidP="003D2974">
            <w:pPr>
              <w:pStyle w:val="Header"/>
              <w:tabs>
                <w:tab w:val="clear" w:pos="4320"/>
                <w:tab w:val="clear" w:pos="8640"/>
              </w:tabs>
              <w:jc w:val="both"/>
            </w:pPr>
            <w:r>
              <w:t xml:space="preserve">It is the committee's opinion that this bill does not expressly grant any additional rulemaking authority </w:t>
            </w:r>
            <w:r>
              <w:t>to a state officer, department, agency, or institution.</w:t>
            </w:r>
          </w:p>
          <w:p w:rsidR="008423E4" w:rsidRPr="00E21FDC" w:rsidRDefault="00B71836" w:rsidP="003D2974">
            <w:pPr>
              <w:rPr>
                <w:b/>
              </w:rPr>
            </w:pPr>
          </w:p>
        </w:tc>
      </w:tr>
      <w:tr w:rsidR="00FC041F" w:rsidTr="00345119">
        <w:tc>
          <w:tcPr>
            <w:tcW w:w="9576" w:type="dxa"/>
          </w:tcPr>
          <w:p w:rsidR="008423E4" w:rsidRPr="00A8133F" w:rsidRDefault="00B71836" w:rsidP="003D2974">
            <w:pPr>
              <w:rPr>
                <w:b/>
              </w:rPr>
            </w:pPr>
            <w:r w:rsidRPr="009C1E9A">
              <w:rPr>
                <w:b/>
                <w:u w:val="single"/>
              </w:rPr>
              <w:t>ANALYSIS</w:t>
            </w:r>
            <w:r>
              <w:rPr>
                <w:b/>
              </w:rPr>
              <w:t xml:space="preserve"> </w:t>
            </w:r>
          </w:p>
          <w:p w:rsidR="008423E4" w:rsidRDefault="00B71836" w:rsidP="003D2974"/>
          <w:p w:rsidR="008423E4" w:rsidRDefault="00B71836" w:rsidP="003D2974">
            <w:pPr>
              <w:pStyle w:val="Header"/>
              <w:tabs>
                <w:tab w:val="clear" w:pos="4320"/>
                <w:tab w:val="clear" w:pos="8640"/>
              </w:tabs>
              <w:jc w:val="both"/>
            </w:pPr>
            <w:r>
              <w:t>S.B. 530</w:t>
            </w:r>
            <w:r>
              <w:t xml:space="preserve"> amends the Health and Safety Code to </w:t>
            </w:r>
            <w:r>
              <w:t xml:space="preserve">increase </w:t>
            </w:r>
            <w:r>
              <w:t xml:space="preserve">from $1,000 to $5,000 the </w:t>
            </w:r>
            <w:r>
              <w:t xml:space="preserve">maximum amount </w:t>
            </w:r>
            <w:r>
              <w:t>of</w:t>
            </w:r>
            <w:r>
              <w:t xml:space="preserve"> the civil</w:t>
            </w:r>
            <w:r>
              <w:t xml:space="preserve"> penalty a per</w:t>
            </w:r>
            <w:r>
              <w:t xml:space="preserve">son is required to be assessed for causing, suffering, allowing, or permitting a violation </w:t>
            </w:r>
            <w:r>
              <w:t xml:space="preserve">under </w:t>
            </w:r>
            <w:r>
              <w:t>statutory provisions</w:t>
            </w:r>
            <w:r>
              <w:t xml:space="preserve"> relating to sanitary standards of drinking water and the protection of public water supplies and bodies of water. The bill increases </w:t>
            </w:r>
            <w:r w:rsidRPr="00213E97">
              <w:t xml:space="preserve">from </w:t>
            </w:r>
            <w:r w:rsidRPr="00213E97">
              <w:t>$1,000 to $5,000 the maximum amount of the</w:t>
            </w:r>
            <w:r>
              <w:t xml:space="preserve"> administrative</w:t>
            </w:r>
            <w:r>
              <w:t xml:space="preserve"> penalty</w:t>
            </w:r>
            <w:r>
              <w:t xml:space="preserve"> </w:t>
            </w:r>
            <w:r>
              <w:t>the</w:t>
            </w:r>
            <w:r w:rsidRPr="00213E97">
              <w:t xml:space="preserve"> Texas Commission on Environmental Quality </w:t>
            </w:r>
            <w:r>
              <w:t xml:space="preserve">may assess against a person </w:t>
            </w:r>
            <w:r>
              <w:t>who</w:t>
            </w:r>
            <w:r>
              <w:t xml:space="preserve"> causes, suffers, allows, or permits a violation of </w:t>
            </w:r>
            <w:r w:rsidRPr="00AD7FA7">
              <w:t xml:space="preserve">those statutory provisions </w:t>
            </w:r>
            <w:r>
              <w:t xml:space="preserve">or a rule or order adopted under </w:t>
            </w:r>
            <w:r>
              <w:t>t</w:t>
            </w:r>
            <w:r>
              <w:t xml:space="preserve">hose statutory </w:t>
            </w:r>
            <w:r>
              <w:t>provisions</w:t>
            </w:r>
            <w:r>
              <w:t>.</w:t>
            </w:r>
            <w:r>
              <w:t xml:space="preserve"> The civil penalty increase applies to an action brought on or after the bill's effective date, regardless of whether the violation giving rise to that action occurred on, before, or after that date, and the administrative penalty</w:t>
            </w:r>
            <w:r>
              <w:t xml:space="preserve"> increase applies only to a violation that occurs on or after the bill's effective date. </w:t>
            </w:r>
            <w:r>
              <w:t xml:space="preserve"> </w:t>
            </w:r>
            <w:r>
              <w:t xml:space="preserve"> </w:t>
            </w:r>
          </w:p>
          <w:p w:rsidR="008423E4" w:rsidRPr="00835628" w:rsidRDefault="00B71836" w:rsidP="003D2974">
            <w:pPr>
              <w:rPr>
                <w:b/>
              </w:rPr>
            </w:pPr>
          </w:p>
        </w:tc>
      </w:tr>
      <w:tr w:rsidR="00FC041F" w:rsidTr="00345119">
        <w:tc>
          <w:tcPr>
            <w:tcW w:w="9576" w:type="dxa"/>
          </w:tcPr>
          <w:p w:rsidR="008423E4" w:rsidRPr="00A8133F" w:rsidRDefault="00B71836" w:rsidP="003D2974">
            <w:pPr>
              <w:rPr>
                <w:b/>
              </w:rPr>
            </w:pPr>
            <w:r w:rsidRPr="009C1E9A">
              <w:rPr>
                <w:b/>
                <w:u w:val="single"/>
              </w:rPr>
              <w:t>EFFECTIVE DATE</w:t>
            </w:r>
            <w:r>
              <w:rPr>
                <w:b/>
              </w:rPr>
              <w:t xml:space="preserve"> </w:t>
            </w:r>
          </w:p>
          <w:p w:rsidR="008423E4" w:rsidRDefault="00B71836" w:rsidP="003D2974"/>
          <w:p w:rsidR="008423E4" w:rsidRPr="003624F2" w:rsidRDefault="00B71836" w:rsidP="003D2974">
            <w:pPr>
              <w:pStyle w:val="Header"/>
              <w:tabs>
                <w:tab w:val="clear" w:pos="4320"/>
                <w:tab w:val="clear" w:pos="8640"/>
              </w:tabs>
              <w:jc w:val="both"/>
            </w:pPr>
            <w:r>
              <w:t>September 1, 2019.</w:t>
            </w:r>
          </w:p>
          <w:p w:rsidR="008423E4" w:rsidRPr="00233FDB" w:rsidRDefault="00B71836" w:rsidP="003D2974">
            <w:pPr>
              <w:rPr>
                <w:b/>
              </w:rPr>
            </w:pPr>
          </w:p>
        </w:tc>
      </w:tr>
    </w:tbl>
    <w:p w:rsidR="008423E4" w:rsidRPr="00BE0E75" w:rsidRDefault="00B71836" w:rsidP="008423E4">
      <w:pPr>
        <w:spacing w:line="480" w:lineRule="auto"/>
        <w:jc w:val="both"/>
        <w:rPr>
          <w:rFonts w:ascii="Arial" w:hAnsi="Arial"/>
          <w:sz w:val="16"/>
          <w:szCs w:val="16"/>
        </w:rPr>
      </w:pPr>
    </w:p>
    <w:p w:rsidR="004108C3" w:rsidRPr="008423E4" w:rsidRDefault="00B71836"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71836">
      <w:r>
        <w:separator/>
      </w:r>
    </w:p>
  </w:endnote>
  <w:endnote w:type="continuationSeparator" w:id="0">
    <w:p w:rsidR="00000000" w:rsidRDefault="00B7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71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C041F" w:rsidTr="009C1E9A">
      <w:trPr>
        <w:cantSplit/>
      </w:trPr>
      <w:tc>
        <w:tcPr>
          <w:tcW w:w="0" w:type="pct"/>
        </w:tcPr>
        <w:p w:rsidR="00137D90" w:rsidRDefault="00B71836" w:rsidP="009C1E9A">
          <w:pPr>
            <w:pStyle w:val="Footer"/>
            <w:tabs>
              <w:tab w:val="clear" w:pos="8640"/>
              <w:tab w:val="right" w:pos="9360"/>
            </w:tabs>
          </w:pPr>
        </w:p>
      </w:tc>
      <w:tc>
        <w:tcPr>
          <w:tcW w:w="2395" w:type="pct"/>
        </w:tcPr>
        <w:p w:rsidR="00137D90" w:rsidRDefault="00B71836" w:rsidP="009C1E9A">
          <w:pPr>
            <w:pStyle w:val="Footer"/>
            <w:tabs>
              <w:tab w:val="clear" w:pos="8640"/>
              <w:tab w:val="right" w:pos="9360"/>
            </w:tabs>
          </w:pPr>
        </w:p>
        <w:p w:rsidR="001A4310" w:rsidRDefault="00B71836" w:rsidP="009C1E9A">
          <w:pPr>
            <w:pStyle w:val="Footer"/>
            <w:tabs>
              <w:tab w:val="clear" w:pos="8640"/>
              <w:tab w:val="right" w:pos="9360"/>
            </w:tabs>
          </w:pPr>
        </w:p>
        <w:p w:rsidR="00137D90" w:rsidRDefault="00B71836" w:rsidP="009C1E9A">
          <w:pPr>
            <w:pStyle w:val="Footer"/>
            <w:tabs>
              <w:tab w:val="clear" w:pos="8640"/>
              <w:tab w:val="right" w:pos="9360"/>
            </w:tabs>
          </w:pPr>
        </w:p>
      </w:tc>
      <w:tc>
        <w:tcPr>
          <w:tcW w:w="2453" w:type="pct"/>
        </w:tcPr>
        <w:p w:rsidR="00137D90" w:rsidRDefault="00B71836" w:rsidP="009C1E9A">
          <w:pPr>
            <w:pStyle w:val="Footer"/>
            <w:tabs>
              <w:tab w:val="clear" w:pos="8640"/>
              <w:tab w:val="right" w:pos="9360"/>
            </w:tabs>
            <w:jc w:val="right"/>
          </w:pPr>
        </w:p>
      </w:tc>
    </w:tr>
    <w:tr w:rsidR="00FC041F" w:rsidTr="009C1E9A">
      <w:trPr>
        <w:cantSplit/>
      </w:trPr>
      <w:tc>
        <w:tcPr>
          <w:tcW w:w="0" w:type="pct"/>
        </w:tcPr>
        <w:p w:rsidR="00EC379B" w:rsidRDefault="00B71836" w:rsidP="009C1E9A">
          <w:pPr>
            <w:pStyle w:val="Footer"/>
            <w:tabs>
              <w:tab w:val="clear" w:pos="8640"/>
              <w:tab w:val="right" w:pos="9360"/>
            </w:tabs>
          </w:pPr>
        </w:p>
      </w:tc>
      <w:tc>
        <w:tcPr>
          <w:tcW w:w="2395" w:type="pct"/>
        </w:tcPr>
        <w:p w:rsidR="00EC379B" w:rsidRPr="009C1E9A" w:rsidRDefault="00B71836" w:rsidP="009C1E9A">
          <w:pPr>
            <w:pStyle w:val="Footer"/>
            <w:tabs>
              <w:tab w:val="clear" w:pos="8640"/>
              <w:tab w:val="right" w:pos="9360"/>
            </w:tabs>
            <w:rPr>
              <w:rFonts w:ascii="Shruti" w:hAnsi="Shruti"/>
              <w:sz w:val="22"/>
            </w:rPr>
          </w:pPr>
          <w:r>
            <w:rPr>
              <w:rFonts w:ascii="Shruti" w:hAnsi="Shruti"/>
              <w:sz w:val="22"/>
            </w:rPr>
            <w:t>86R 28780</w:t>
          </w:r>
        </w:p>
      </w:tc>
      <w:tc>
        <w:tcPr>
          <w:tcW w:w="2453" w:type="pct"/>
        </w:tcPr>
        <w:p w:rsidR="00EC379B" w:rsidRDefault="00B71836" w:rsidP="009C1E9A">
          <w:pPr>
            <w:pStyle w:val="Footer"/>
            <w:tabs>
              <w:tab w:val="clear" w:pos="8640"/>
              <w:tab w:val="right" w:pos="9360"/>
            </w:tabs>
            <w:jc w:val="right"/>
          </w:pPr>
          <w:r>
            <w:fldChar w:fldCharType="begin"/>
          </w:r>
          <w:r>
            <w:instrText xml:space="preserve"> DOCPROPERTY  OTID  \* MERGEFORMAT </w:instrText>
          </w:r>
          <w:r>
            <w:fldChar w:fldCharType="separate"/>
          </w:r>
          <w:r>
            <w:t>19.112.124</w:t>
          </w:r>
          <w:r>
            <w:fldChar w:fldCharType="end"/>
          </w:r>
        </w:p>
      </w:tc>
    </w:tr>
    <w:tr w:rsidR="00FC041F" w:rsidTr="009C1E9A">
      <w:trPr>
        <w:cantSplit/>
      </w:trPr>
      <w:tc>
        <w:tcPr>
          <w:tcW w:w="0" w:type="pct"/>
        </w:tcPr>
        <w:p w:rsidR="00EC379B" w:rsidRDefault="00B71836" w:rsidP="009C1E9A">
          <w:pPr>
            <w:pStyle w:val="Footer"/>
            <w:tabs>
              <w:tab w:val="clear" w:pos="4320"/>
              <w:tab w:val="clear" w:pos="8640"/>
              <w:tab w:val="left" w:pos="2865"/>
            </w:tabs>
          </w:pPr>
        </w:p>
      </w:tc>
      <w:tc>
        <w:tcPr>
          <w:tcW w:w="2395" w:type="pct"/>
        </w:tcPr>
        <w:p w:rsidR="00EC379B" w:rsidRPr="009C1E9A" w:rsidRDefault="00B71836" w:rsidP="009C1E9A">
          <w:pPr>
            <w:pStyle w:val="Footer"/>
            <w:tabs>
              <w:tab w:val="clear" w:pos="4320"/>
              <w:tab w:val="clear" w:pos="8640"/>
              <w:tab w:val="left" w:pos="2865"/>
            </w:tabs>
            <w:rPr>
              <w:rFonts w:ascii="Shruti" w:hAnsi="Shruti"/>
              <w:sz w:val="22"/>
            </w:rPr>
          </w:pPr>
        </w:p>
      </w:tc>
      <w:tc>
        <w:tcPr>
          <w:tcW w:w="2453" w:type="pct"/>
        </w:tcPr>
        <w:p w:rsidR="00EC379B" w:rsidRDefault="00B71836" w:rsidP="006D504F">
          <w:pPr>
            <w:pStyle w:val="Footer"/>
            <w:rPr>
              <w:rStyle w:val="PageNumber"/>
            </w:rPr>
          </w:pPr>
        </w:p>
        <w:p w:rsidR="00EC379B" w:rsidRDefault="00B71836" w:rsidP="009C1E9A">
          <w:pPr>
            <w:pStyle w:val="Footer"/>
            <w:tabs>
              <w:tab w:val="clear" w:pos="8640"/>
              <w:tab w:val="right" w:pos="9360"/>
            </w:tabs>
            <w:jc w:val="right"/>
          </w:pPr>
        </w:p>
      </w:tc>
    </w:tr>
    <w:tr w:rsidR="00FC041F" w:rsidTr="009C1E9A">
      <w:trPr>
        <w:cantSplit/>
        <w:trHeight w:val="323"/>
      </w:trPr>
      <w:tc>
        <w:tcPr>
          <w:tcW w:w="0" w:type="pct"/>
          <w:gridSpan w:val="3"/>
        </w:tcPr>
        <w:p w:rsidR="00EC379B" w:rsidRDefault="00B7183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71836" w:rsidP="009C1E9A">
          <w:pPr>
            <w:pStyle w:val="Footer"/>
            <w:tabs>
              <w:tab w:val="clear" w:pos="8640"/>
              <w:tab w:val="right" w:pos="9360"/>
            </w:tabs>
            <w:jc w:val="center"/>
          </w:pPr>
        </w:p>
      </w:tc>
    </w:tr>
  </w:tbl>
  <w:p w:rsidR="00EC379B" w:rsidRPr="00FF6F72" w:rsidRDefault="00B7183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71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71836">
      <w:r>
        <w:separator/>
      </w:r>
    </w:p>
  </w:footnote>
  <w:footnote w:type="continuationSeparator" w:id="0">
    <w:p w:rsidR="00000000" w:rsidRDefault="00B7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71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71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718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1F"/>
    <w:rsid w:val="00B71836"/>
    <w:rsid w:val="00FC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DB3D9-20FF-42C7-8D0A-8AC73F48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F6BCA"/>
    <w:rPr>
      <w:sz w:val="16"/>
      <w:szCs w:val="16"/>
    </w:rPr>
  </w:style>
  <w:style w:type="paragraph" w:styleId="CommentText">
    <w:name w:val="annotation text"/>
    <w:basedOn w:val="Normal"/>
    <w:link w:val="CommentTextChar"/>
    <w:semiHidden/>
    <w:unhideWhenUsed/>
    <w:rsid w:val="009F6BCA"/>
    <w:rPr>
      <w:sz w:val="20"/>
      <w:szCs w:val="20"/>
    </w:rPr>
  </w:style>
  <w:style w:type="character" w:customStyle="1" w:styleId="CommentTextChar">
    <w:name w:val="Comment Text Char"/>
    <w:basedOn w:val="DefaultParagraphFont"/>
    <w:link w:val="CommentText"/>
    <w:semiHidden/>
    <w:rsid w:val="009F6BCA"/>
  </w:style>
  <w:style w:type="paragraph" w:styleId="CommentSubject">
    <w:name w:val="annotation subject"/>
    <w:basedOn w:val="CommentText"/>
    <w:next w:val="CommentText"/>
    <w:link w:val="CommentSubjectChar"/>
    <w:semiHidden/>
    <w:unhideWhenUsed/>
    <w:rsid w:val="009F6BCA"/>
    <w:rPr>
      <w:b/>
      <w:bCs/>
    </w:rPr>
  </w:style>
  <w:style w:type="character" w:customStyle="1" w:styleId="CommentSubjectChar">
    <w:name w:val="Comment Subject Char"/>
    <w:basedOn w:val="CommentTextChar"/>
    <w:link w:val="CommentSubject"/>
    <w:semiHidden/>
    <w:rsid w:val="009F6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1765</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SB00530 (Committee Report (Unamended))</vt:lpstr>
    </vt:vector>
  </TitlesOfParts>
  <Company>State of Texas</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28780</dc:subject>
  <dc:creator>State of Texas</dc:creator>
  <dc:description>SB 530 by Birdwell-(H)Environmental Regulation</dc:description>
  <cp:lastModifiedBy>Scotty Wimberley</cp:lastModifiedBy>
  <cp:revision>2</cp:revision>
  <cp:lastPrinted>2003-11-26T17:21:00Z</cp:lastPrinted>
  <dcterms:created xsi:type="dcterms:W3CDTF">2019-05-14T22:37:00Z</dcterms:created>
  <dcterms:modified xsi:type="dcterms:W3CDTF">2019-05-14T22:37:00Z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19.112.124</vt:lpwstr>
  </property>
</Properties>
</file>