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60D4C" w:rsidTr="00345119">
        <w:tc>
          <w:tcPr>
            <w:tcW w:w="9576" w:type="dxa"/>
            <w:noWrap/>
          </w:tcPr>
          <w:p w:rsidR="008423E4" w:rsidRPr="0022177D" w:rsidRDefault="00587308" w:rsidP="00345119">
            <w:pPr>
              <w:pStyle w:val="Heading1"/>
            </w:pPr>
            <w:bookmarkStart w:id="0" w:name="_GoBack"/>
            <w:bookmarkEnd w:id="0"/>
            <w:r w:rsidRPr="00631897">
              <w:t>BILL ANALYSIS</w:t>
            </w:r>
          </w:p>
        </w:tc>
      </w:tr>
    </w:tbl>
    <w:p w:rsidR="008423E4" w:rsidRPr="0022177D" w:rsidRDefault="00587308" w:rsidP="008423E4">
      <w:pPr>
        <w:jc w:val="center"/>
      </w:pPr>
    </w:p>
    <w:p w:rsidR="008423E4" w:rsidRPr="00B31F0E" w:rsidRDefault="00587308" w:rsidP="008423E4"/>
    <w:p w:rsidR="008423E4" w:rsidRPr="00742794" w:rsidRDefault="00587308" w:rsidP="008423E4">
      <w:pPr>
        <w:tabs>
          <w:tab w:val="right" w:pos="9360"/>
        </w:tabs>
      </w:pPr>
    </w:p>
    <w:tbl>
      <w:tblPr>
        <w:tblW w:w="0" w:type="auto"/>
        <w:tblLayout w:type="fixed"/>
        <w:tblLook w:val="01E0" w:firstRow="1" w:lastRow="1" w:firstColumn="1" w:lastColumn="1" w:noHBand="0" w:noVBand="0"/>
      </w:tblPr>
      <w:tblGrid>
        <w:gridCol w:w="9576"/>
      </w:tblGrid>
      <w:tr w:rsidR="00660D4C" w:rsidTr="00345119">
        <w:tc>
          <w:tcPr>
            <w:tcW w:w="9576" w:type="dxa"/>
          </w:tcPr>
          <w:p w:rsidR="008423E4" w:rsidRPr="00861995" w:rsidRDefault="00587308" w:rsidP="00345119">
            <w:pPr>
              <w:jc w:val="right"/>
            </w:pPr>
            <w:r>
              <w:t>S.B. 536</w:t>
            </w:r>
          </w:p>
        </w:tc>
      </w:tr>
      <w:tr w:rsidR="00660D4C" w:rsidTr="00345119">
        <w:tc>
          <w:tcPr>
            <w:tcW w:w="9576" w:type="dxa"/>
          </w:tcPr>
          <w:p w:rsidR="008423E4" w:rsidRPr="00861995" w:rsidRDefault="00587308" w:rsidP="009B046C">
            <w:pPr>
              <w:jc w:val="right"/>
            </w:pPr>
            <w:r>
              <w:t xml:space="preserve">By: </w:t>
            </w:r>
            <w:r>
              <w:t>Zaffirini</w:t>
            </w:r>
          </w:p>
        </w:tc>
      </w:tr>
      <w:tr w:rsidR="00660D4C" w:rsidTr="00345119">
        <w:tc>
          <w:tcPr>
            <w:tcW w:w="9576" w:type="dxa"/>
          </w:tcPr>
          <w:p w:rsidR="008423E4" w:rsidRPr="00861995" w:rsidRDefault="00587308" w:rsidP="00345119">
            <w:pPr>
              <w:jc w:val="right"/>
            </w:pPr>
            <w:r>
              <w:t>Judiciary &amp; Civil Jurisprudence</w:t>
            </w:r>
          </w:p>
        </w:tc>
      </w:tr>
      <w:tr w:rsidR="00660D4C" w:rsidTr="00345119">
        <w:tc>
          <w:tcPr>
            <w:tcW w:w="9576" w:type="dxa"/>
          </w:tcPr>
          <w:p w:rsidR="008423E4" w:rsidRDefault="00587308" w:rsidP="00345119">
            <w:pPr>
              <w:jc w:val="right"/>
            </w:pPr>
            <w:r>
              <w:t>Committee Report (Unamended)</w:t>
            </w:r>
          </w:p>
        </w:tc>
      </w:tr>
    </w:tbl>
    <w:p w:rsidR="008423E4" w:rsidRDefault="00587308" w:rsidP="008423E4">
      <w:pPr>
        <w:tabs>
          <w:tab w:val="right" w:pos="9360"/>
        </w:tabs>
      </w:pPr>
    </w:p>
    <w:p w:rsidR="008423E4" w:rsidRDefault="00587308" w:rsidP="008423E4"/>
    <w:p w:rsidR="008423E4" w:rsidRDefault="00587308" w:rsidP="008423E4"/>
    <w:tbl>
      <w:tblPr>
        <w:tblW w:w="0" w:type="auto"/>
        <w:tblCellMar>
          <w:left w:w="115" w:type="dxa"/>
          <w:right w:w="115" w:type="dxa"/>
        </w:tblCellMar>
        <w:tblLook w:val="01E0" w:firstRow="1" w:lastRow="1" w:firstColumn="1" w:lastColumn="1" w:noHBand="0" w:noVBand="0"/>
      </w:tblPr>
      <w:tblGrid>
        <w:gridCol w:w="9576"/>
      </w:tblGrid>
      <w:tr w:rsidR="00660D4C" w:rsidTr="00345119">
        <w:tc>
          <w:tcPr>
            <w:tcW w:w="9576" w:type="dxa"/>
          </w:tcPr>
          <w:p w:rsidR="008423E4" w:rsidRPr="00A8133F" w:rsidRDefault="00587308" w:rsidP="004011D8">
            <w:pPr>
              <w:rPr>
                <w:b/>
              </w:rPr>
            </w:pPr>
            <w:r w:rsidRPr="009C1E9A">
              <w:rPr>
                <w:b/>
                <w:u w:val="single"/>
              </w:rPr>
              <w:t>BACKGROUND AND PURPOSE</w:t>
            </w:r>
            <w:r>
              <w:rPr>
                <w:b/>
              </w:rPr>
              <w:t xml:space="preserve"> </w:t>
            </w:r>
          </w:p>
          <w:p w:rsidR="008423E4" w:rsidRDefault="00587308" w:rsidP="004011D8"/>
          <w:p w:rsidR="00221114" w:rsidRDefault="00587308" w:rsidP="004011D8">
            <w:pPr>
              <w:pStyle w:val="Header"/>
              <w:jc w:val="both"/>
            </w:pPr>
            <w:r>
              <w:t xml:space="preserve">It has been noted that since statutory probate courts are available in only a few Texas counties, a significant proportion of guardianship cases are handled by courts that lack </w:t>
            </w:r>
            <w:r>
              <w:t xml:space="preserve">specialized resources for this case type. There have been calls to implement a </w:t>
            </w:r>
            <w:r>
              <w:t>model similar to the existing specialized child protection courts to improve statewide access to the appropriate expertise</w:t>
            </w:r>
            <w:r>
              <w:t xml:space="preserve"> and resources</w:t>
            </w:r>
            <w:r>
              <w:t xml:space="preserve">. </w:t>
            </w:r>
            <w:r>
              <w:t>S.B. 536</w:t>
            </w:r>
            <w:r>
              <w:t xml:space="preserve"> seeks to provide for this </w:t>
            </w:r>
            <w:r>
              <w:t xml:space="preserve">improvement by establishing a </w:t>
            </w:r>
            <w:r>
              <w:t>system of regional specialized guardianship courts</w:t>
            </w:r>
            <w:r>
              <w:t xml:space="preserve"> </w:t>
            </w:r>
            <w:r>
              <w:t>wi</w:t>
            </w:r>
            <w:r>
              <w:t xml:space="preserve">th associate judges and </w:t>
            </w:r>
            <w:r>
              <w:t>appropriate</w:t>
            </w:r>
            <w:r>
              <w:t xml:space="preserve"> staff</w:t>
            </w:r>
            <w:r>
              <w:t>ing</w:t>
            </w:r>
            <w:r>
              <w:t>.</w:t>
            </w:r>
          </w:p>
          <w:p w:rsidR="008423E4" w:rsidRPr="00E26B13" w:rsidRDefault="00587308" w:rsidP="004011D8">
            <w:pPr>
              <w:pStyle w:val="Header"/>
              <w:jc w:val="both"/>
              <w:rPr>
                <w:b/>
              </w:rPr>
            </w:pPr>
            <w:r>
              <w:t xml:space="preserve"> </w:t>
            </w:r>
          </w:p>
        </w:tc>
      </w:tr>
      <w:tr w:rsidR="00660D4C" w:rsidTr="00345119">
        <w:tc>
          <w:tcPr>
            <w:tcW w:w="9576" w:type="dxa"/>
          </w:tcPr>
          <w:p w:rsidR="0017725B" w:rsidRDefault="00587308" w:rsidP="004011D8">
            <w:pPr>
              <w:rPr>
                <w:b/>
                <w:u w:val="single"/>
              </w:rPr>
            </w:pPr>
            <w:r>
              <w:rPr>
                <w:b/>
                <w:u w:val="single"/>
              </w:rPr>
              <w:t>CRIMINAL JUSTICE IMPACT</w:t>
            </w:r>
          </w:p>
          <w:p w:rsidR="0017725B" w:rsidRDefault="00587308" w:rsidP="004011D8">
            <w:pPr>
              <w:rPr>
                <w:b/>
                <w:u w:val="single"/>
              </w:rPr>
            </w:pPr>
          </w:p>
          <w:p w:rsidR="00847B04" w:rsidRPr="00847B04" w:rsidRDefault="00587308" w:rsidP="004011D8">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rsidR="0017725B" w:rsidRPr="0017725B" w:rsidRDefault="00587308" w:rsidP="004011D8">
            <w:pPr>
              <w:rPr>
                <w:b/>
                <w:u w:val="single"/>
              </w:rPr>
            </w:pPr>
          </w:p>
        </w:tc>
      </w:tr>
      <w:tr w:rsidR="00660D4C" w:rsidTr="00345119">
        <w:tc>
          <w:tcPr>
            <w:tcW w:w="9576" w:type="dxa"/>
          </w:tcPr>
          <w:p w:rsidR="008423E4" w:rsidRPr="00A8133F" w:rsidRDefault="00587308" w:rsidP="004011D8">
            <w:pPr>
              <w:rPr>
                <w:b/>
              </w:rPr>
            </w:pPr>
            <w:r w:rsidRPr="009C1E9A">
              <w:rPr>
                <w:b/>
                <w:u w:val="single"/>
              </w:rPr>
              <w:t>RULEMAKING AUTHORITY</w:t>
            </w:r>
            <w:r>
              <w:rPr>
                <w:b/>
              </w:rPr>
              <w:t xml:space="preserve"> </w:t>
            </w:r>
          </w:p>
          <w:p w:rsidR="008423E4" w:rsidRDefault="00587308" w:rsidP="004011D8"/>
          <w:p w:rsidR="00847B04" w:rsidRDefault="00587308" w:rsidP="004011D8">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587308" w:rsidP="004011D8">
            <w:pPr>
              <w:rPr>
                <w:b/>
              </w:rPr>
            </w:pPr>
          </w:p>
        </w:tc>
      </w:tr>
      <w:tr w:rsidR="00660D4C" w:rsidTr="00345119">
        <w:tc>
          <w:tcPr>
            <w:tcW w:w="9576" w:type="dxa"/>
          </w:tcPr>
          <w:p w:rsidR="008423E4" w:rsidRPr="00A8133F" w:rsidRDefault="00587308" w:rsidP="004011D8">
            <w:pPr>
              <w:rPr>
                <w:b/>
              </w:rPr>
            </w:pPr>
            <w:r w:rsidRPr="009C1E9A">
              <w:rPr>
                <w:b/>
                <w:u w:val="single"/>
              </w:rPr>
              <w:t>ANALYSIS</w:t>
            </w:r>
            <w:r>
              <w:rPr>
                <w:b/>
              </w:rPr>
              <w:t xml:space="preserve"> </w:t>
            </w:r>
          </w:p>
          <w:p w:rsidR="008423E4" w:rsidRDefault="00587308" w:rsidP="004011D8"/>
          <w:p w:rsidR="000B0D12" w:rsidRDefault="00587308" w:rsidP="004011D8">
            <w:pPr>
              <w:pStyle w:val="Header"/>
              <w:jc w:val="both"/>
            </w:pPr>
            <w:r>
              <w:t>S.B. 536</w:t>
            </w:r>
            <w:r>
              <w:t xml:space="preserve"> amends the Government Code to require the presiding judge of </w:t>
            </w:r>
            <w:r w:rsidRPr="00960FDC">
              <w:t xml:space="preserve">each administrative judicial region, after conferring with the judges of </w:t>
            </w:r>
            <w:r>
              <w:t>applicable</w:t>
            </w:r>
            <w:r w:rsidRPr="00DF207A">
              <w:t xml:space="preserve"> courts</w:t>
            </w:r>
            <w:r w:rsidRPr="00960FDC">
              <w:t xml:space="preserve"> in the region</w:t>
            </w:r>
            <w:r>
              <w:t>, to determine whether those courts require t</w:t>
            </w:r>
            <w:r>
              <w:t xml:space="preserve">he appointment of a full-time or part-time associate judge to assist </w:t>
            </w:r>
            <w:r>
              <w:t xml:space="preserve">those </w:t>
            </w:r>
            <w:r>
              <w:t>courts in conducting guardianship</w:t>
            </w:r>
            <w:r>
              <w:t xml:space="preserve"> proceedings</w:t>
            </w:r>
            <w:r>
              <w:t xml:space="preserve"> </w:t>
            </w:r>
            <w:r>
              <w:t>or protective services proceedings.</w:t>
            </w:r>
            <w:r>
              <w:t xml:space="preserve"> </w:t>
            </w:r>
            <w:r>
              <w:t xml:space="preserve">The bill </w:t>
            </w:r>
            <w:r>
              <w:t>identifies</w:t>
            </w:r>
            <w:r>
              <w:t xml:space="preserve"> </w:t>
            </w:r>
            <w:r>
              <w:t>an</w:t>
            </w:r>
            <w:r>
              <w:t xml:space="preserve"> applicable court as a county court or a statutory county court, other than a</w:t>
            </w:r>
            <w:r>
              <w:t xml:space="preserve"> statutory probate court, with jurisdiction over </w:t>
            </w:r>
            <w:r>
              <w:t>those</w:t>
            </w:r>
            <w:r>
              <w:t xml:space="preserve"> proceedings</w:t>
            </w:r>
            <w:r>
              <w:t xml:space="preserve"> and establishes that the bill's provisions </w:t>
            </w:r>
            <w:r>
              <w:t xml:space="preserve">do not </w:t>
            </w:r>
            <w:r>
              <w:t xml:space="preserve">limit </w:t>
            </w:r>
            <w:r>
              <w:t xml:space="preserve">such a court's </w:t>
            </w:r>
            <w:r>
              <w:t xml:space="preserve">authority to issue an order in </w:t>
            </w:r>
            <w:r>
              <w:t>those proceedings</w:t>
            </w:r>
            <w:r>
              <w:t xml:space="preserve">. </w:t>
            </w:r>
          </w:p>
          <w:p w:rsidR="000B0D12" w:rsidRDefault="00587308" w:rsidP="004011D8">
            <w:pPr>
              <w:pStyle w:val="Header"/>
              <w:jc w:val="both"/>
            </w:pPr>
          </w:p>
          <w:p w:rsidR="00622011" w:rsidRDefault="00587308" w:rsidP="004011D8">
            <w:pPr>
              <w:pStyle w:val="Header"/>
              <w:jc w:val="both"/>
            </w:pPr>
            <w:r>
              <w:t>S.B. 536</w:t>
            </w:r>
            <w:r>
              <w:t xml:space="preserve"> requires the </w:t>
            </w:r>
            <w:r>
              <w:t xml:space="preserve">presiding </w:t>
            </w:r>
            <w:r>
              <w:t>judge</w:t>
            </w:r>
            <w:r>
              <w:t>,</w:t>
            </w:r>
            <w:r>
              <w:t xml:space="preserve"> after</w:t>
            </w:r>
            <w:r>
              <w:t xml:space="preserve"> determin</w:t>
            </w:r>
            <w:r>
              <w:t>ing</w:t>
            </w:r>
            <w:r>
              <w:t xml:space="preserve"> a need</w:t>
            </w:r>
            <w:r>
              <w:t>,</w:t>
            </w:r>
            <w:r>
              <w:t xml:space="preserve"> t</w:t>
            </w:r>
            <w:r>
              <w:t xml:space="preserve">o appoint an associate judge </w:t>
            </w:r>
            <w:r w:rsidRPr="0046723E">
              <w:t xml:space="preserve">from a list of applicants who submitted an application to the </w:t>
            </w:r>
            <w:r>
              <w:t>O</w:t>
            </w:r>
            <w:r w:rsidRPr="00DF207A">
              <w:t xml:space="preserve">ffice </w:t>
            </w:r>
            <w:r w:rsidRPr="00DF207A">
              <w:t xml:space="preserve">of </w:t>
            </w:r>
            <w:r>
              <w:t>C</w:t>
            </w:r>
            <w:r w:rsidRPr="00DF207A">
              <w:t xml:space="preserve">ourt </w:t>
            </w:r>
            <w:r>
              <w:t>A</w:t>
            </w:r>
            <w:r w:rsidRPr="00DF207A">
              <w:t>dministration</w:t>
            </w:r>
            <w:r>
              <w:t xml:space="preserve"> of the Texas Judicial System (OCA) </w:t>
            </w:r>
            <w:r>
              <w:t xml:space="preserve">and meet </w:t>
            </w:r>
            <w:r>
              <w:t>the</w:t>
            </w:r>
            <w:r w:rsidRPr="0046723E">
              <w:t xml:space="preserve"> </w:t>
            </w:r>
            <w:r w:rsidRPr="0046723E">
              <w:t>qualifications</w:t>
            </w:r>
            <w:r>
              <w:t xml:space="preserve"> prescribed by the bill. The bill requires the </w:t>
            </w:r>
            <w:r>
              <w:t xml:space="preserve">presiding </w:t>
            </w:r>
            <w:r>
              <w:t xml:space="preserve">judge to </w:t>
            </w:r>
            <w:r w:rsidRPr="0046723E">
              <w:t xml:space="preserve">provide the list </w:t>
            </w:r>
            <w:r>
              <w:t xml:space="preserve">or appropriate notification, as applicable, </w:t>
            </w:r>
            <w:r w:rsidRPr="0046723E">
              <w:t xml:space="preserve">to each judge of a court from which proceedings will be </w:t>
            </w:r>
            <w:r>
              <w:t xml:space="preserve">referred to the associate judge before </w:t>
            </w:r>
            <w:r>
              <w:t>appointing or reappointing the associate judge</w:t>
            </w:r>
            <w:r>
              <w:t xml:space="preserve"> and authorizes each of those </w:t>
            </w:r>
            <w:r>
              <w:t>judges and the presiding</w:t>
            </w:r>
            <w:r>
              <w:t xml:space="preserve"> judge of the statutory probate courts to </w:t>
            </w:r>
            <w:r>
              <w:t>make recommendations regarding the appointment or reappointment, as appropriate</w:t>
            </w:r>
            <w:r>
              <w:t xml:space="preserve">. </w:t>
            </w:r>
            <w:r>
              <w:t>An associate judge appointed under these provisions is appointed to serve the applicable courts specified by the appointing presiding</w:t>
            </w:r>
            <w:r>
              <w:t xml:space="preserve"> judge in the administrative judicial region that presiding judge serves. </w:t>
            </w:r>
            <w:r>
              <w:t xml:space="preserve">The bill authorizes two or more presiding judges of administrative judicial regions to jointly appoint one or more associate judges to serve specified courts in the </w:t>
            </w:r>
            <w:r>
              <w:t>presiding judges'</w:t>
            </w:r>
            <w:r>
              <w:t xml:space="preserve"> </w:t>
            </w:r>
            <w:r>
              <w:t>region</w:t>
            </w:r>
            <w:r>
              <w:t>s</w:t>
            </w:r>
            <w:r>
              <w:t xml:space="preserve">. </w:t>
            </w:r>
            <w:r>
              <w:t xml:space="preserve">The bill </w:t>
            </w:r>
            <w:r>
              <w:t>makes</w:t>
            </w:r>
            <w:r>
              <w:t xml:space="preserve"> statutory provisions relating to statutory probate court associate judges appl</w:t>
            </w:r>
            <w:r>
              <w:t>icable</w:t>
            </w:r>
            <w:r>
              <w:t xml:space="preserve"> to an associate judge appointed under the bill's provisions except to the extent of a conflict.</w:t>
            </w:r>
          </w:p>
          <w:p w:rsidR="00622011" w:rsidRDefault="00587308" w:rsidP="004011D8">
            <w:pPr>
              <w:pStyle w:val="Header"/>
              <w:jc w:val="both"/>
            </w:pPr>
          </w:p>
          <w:p w:rsidR="008423E4" w:rsidRDefault="00587308" w:rsidP="004011D8">
            <w:pPr>
              <w:pStyle w:val="Header"/>
              <w:jc w:val="both"/>
            </w:pPr>
            <w:r>
              <w:t>S.B. 536</w:t>
            </w:r>
            <w:r>
              <w:t xml:space="preserve"> sets out </w:t>
            </w:r>
            <w:r>
              <w:t>eligibility criteria</w:t>
            </w:r>
            <w:r>
              <w:t xml:space="preserve"> and reside</w:t>
            </w:r>
            <w:r>
              <w:t>ncy requirements</w:t>
            </w:r>
            <w:r>
              <w:t xml:space="preserve"> for </w:t>
            </w:r>
            <w:r>
              <w:t>an</w:t>
            </w:r>
            <w:r>
              <w:t xml:space="preserve"> associate judge</w:t>
            </w:r>
            <w:r>
              <w:t xml:space="preserve"> appointed under the bill's provisions</w:t>
            </w:r>
            <w:r>
              <w:t xml:space="preserve"> and provides for the judge's four-year term, at-will employment status, and </w:t>
            </w:r>
            <w:r>
              <w:t xml:space="preserve">compensation. </w:t>
            </w:r>
            <w:r>
              <w:t xml:space="preserve">The bill requires the appointing presiding judge </w:t>
            </w:r>
            <w:r>
              <w:t xml:space="preserve">or judges, as applicable, </w:t>
            </w:r>
            <w:r>
              <w:t xml:space="preserve">to determine </w:t>
            </w:r>
            <w:r>
              <w:t xml:space="preserve">the host county of </w:t>
            </w:r>
            <w:r>
              <w:t xml:space="preserve">the </w:t>
            </w:r>
            <w:r>
              <w:t>associate judge,</w:t>
            </w:r>
            <w:r>
              <w:t xml:space="preserve"> subject to the approval of the commissioners court of the proposed host county, </w:t>
            </w:r>
            <w:r>
              <w:t xml:space="preserve">and requires the host county to provide an adequate courtroom and quarters for the associate judge and other </w:t>
            </w:r>
            <w:r>
              <w:t xml:space="preserve">assisting </w:t>
            </w:r>
            <w:r>
              <w:t xml:space="preserve">personnel. </w:t>
            </w:r>
          </w:p>
          <w:p w:rsidR="00072C0E" w:rsidRDefault="00587308" w:rsidP="004011D8">
            <w:pPr>
              <w:pStyle w:val="Header"/>
              <w:jc w:val="both"/>
            </w:pPr>
          </w:p>
          <w:p w:rsidR="00072C0E" w:rsidRDefault="00587308" w:rsidP="004011D8">
            <w:pPr>
              <w:pStyle w:val="Header"/>
              <w:jc w:val="both"/>
            </w:pPr>
            <w:r>
              <w:t>S.B.</w:t>
            </w:r>
            <w:r>
              <w:t xml:space="preserve"> 536</w:t>
            </w:r>
            <w:r>
              <w:t xml:space="preserve"> </w:t>
            </w:r>
            <w:r>
              <w:t xml:space="preserve">sets out </w:t>
            </w:r>
            <w:r>
              <w:t>the methods of</w:t>
            </w:r>
            <w:r w:rsidRPr="007D5DBB">
              <w:t xml:space="preserve"> </w:t>
            </w:r>
            <w:r>
              <w:t>referral of</w:t>
            </w:r>
            <w:r>
              <w:t xml:space="preserve"> guardianship proceedings or protective services proceedings</w:t>
            </w:r>
            <w:r>
              <w:t xml:space="preserve"> to an associate judge</w:t>
            </w:r>
            <w:r>
              <w:t xml:space="preserve">, </w:t>
            </w:r>
            <w:r>
              <w:t xml:space="preserve">provides for </w:t>
            </w:r>
            <w:r>
              <w:t>the</w:t>
            </w:r>
            <w:r>
              <w:t xml:space="preserve"> associate judge</w:t>
            </w:r>
            <w:r>
              <w:t xml:space="preserve">'s authority </w:t>
            </w:r>
            <w:r>
              <w:t>to</w:t>
            </w:r>
            <w:r>
              <w:t xml:space="preserve"> refer a complex guardianship proceeding back to the referring court for final disposition</w:t>
            </w:r>
            <w:r>
              <w:t>,</w:t>
            </w:r>
            <w:r>
              <w:t xml:space="preserve"> </w:t>
            </w:r>
            <w:r>
              <w:t xml:space="preserve">and </w:t>
            </w:r>
            <w:r>
              <w:t xml:space="preserve">authorizes </w:t>
            </w:r>
            <w:r>
              <w:t>the</w:t>
            </w:r>
            <w:r>
              <w:t xml:space="preserve"> associate judge </w:t>
            </w:r>
            <w:r>
              <w:t>to</w:t>
            </w:r>
            <w:r>
              <w:t xml:space="preserve"> render and sign any pretrial order and</w:t>
            </w:r>
            <w:r>
              <w:t xml:space="preserve"> to </w:t>
            </w:r>
            <w:r>
              <w:t>recommend to the referring court any order after a trial on the merits.</w:t>
            </w:r>
            <w:r w:rsidRPr="007D5DBB">
              <w:t xml:space="preserve"> </w:t>
            </w:r>
            <w:r w:rsidRPr="007D5DBB">
              <w:t>The bill est</w:t>
            </w:r>
            <w:r w:rsidRPr="007D5DBB">
              <w:t xml:space="preserve">ablishes that if a request for a de novo hearing before the referring court is not timely filed or the right to </w:t>
            </w:r>
            <w:r>
              <w:t>such a</w:t>
            </w:r>
            <w:r w:rsidRPr="007D5DBB">
              <w:t xml:space="preserve"> hearing is waived, the proposed order or judgment of the associate judge for the proceeding becomes the order or judgment of the referrin</w:t>
            </w:r>
            <w:r w:rsidRPr="007D5DBB">
              <w:t>g court by operation of law without ratification by the referring court.</w:t>
            </w:r>
          </w:p>
          <w:p w:rsidR="00463836" w:rsidRDefault="00587308" w:rsidP="004011D8">
            <w:pPr>
              <w:pStyle w:val="Header"/>
              <w:jc w:val="both"/>
            </w:pPr>
          </w:p>
          <w:p w:rsidR="00AE206A" w:rsidRDefault="00587308" w:rsidP="004011D8">
            <w:pPr>
              <w:pStyle w:val="Header"/>
              <w:jc w:val="both"/>
            </w:pPr>
            <w:r>
              <w:t>S.B. 536</w:t>
            </w:r>
            <w:r>
              <w:t xml:space="preserve"> provides for the appointment </w:t>
            </w:r>
            <w:r>
              <w:t xml:space="preserve">and salaries </w:t>
            </w:r>
            <w:r>
              <w:t xml:space="preserve">of personnel to assist </w:t>
            </w:r>
            <w:r>
              <w:t xml:space="preserve">the </w:t>
            </w:r>
            <w:r>
              <w:t>associate judge</w:t>
            </w:r>
            <w:r>
              <w:t>.</w:t>
            </w:r>
            <w:r>
              <w:t xml:space="preserve"> </w:t>
            </w:r>
            <w:r>
              <w:t xml:space="preserve">The bill requires OCA to </w:t>
            </w:r>
            <w:r>
              <w:t>develop caseload standards for associate judges to ensure adeq</w:t>
            </w:r>
            <w:r>
              <w:t xml:space="preserve">uate staffing and to </w:t>
            </w:r>
            <w:r>
              <w:t xml:space="preserve">assist presiding judges in </w:t>
            </w:r>
            <w:r>
              <w:t>certain</w:t>
            </w:r>
            <w:r>
              <w:t xml:space="preserve"> duties </w:t>
            </w:r>
            <w:r>
              <w:t>re</w:t>
            </w:r>
            <w:r>
              <w:t>lating to the supervision, training, and evaluation of</w:t>
            </w:r>
            <w:r>
              <w:t xml:space="preserve"> associate judges</w:t>
            </w:r>
            <w:r>
              <w:t>. The bill authorizes</w:t>
            </w:r>
            <w:r>
              <w:t xml:space="preserve"> </w:t>
            </w:r>
            <w:r>
              <w:t xml:space="preserve">the </w:t>
            </w:r>
            <w:r>
              <w:t>referri</w:t>
            </w:r>
            <w:r>
              <w:t>ng court judges to submit associate judge performance information to the presiding judg</w:t>
            </w:r>
            <w:r>
              <w:t xml:space="preserve">es </w:t>
            </w:r>
            <w:r>
              <w:t xml:space="preserve">or </w:t>
            </w:r>
            <w:r>
              <w:t>OCA.</w:t>
            </w:r>
          </w:p>
          <w:p w:rsidR="008240BB" w:rsidRDefault="00587308" w:rsidP="004011D8">
            <w:pPr>
              <w:pStyle w:val="Header"/>
              <w:jc w:val="both"/>
            </w:pPr>
          </w:p>
          <w:p w:rsidR="00CB3700" w:rsidRDefault="00587308" w:rsidP="004011D8">
            <w:pPr>
              <w:pStyle w:val="Header"/>
              <w:jc w:val="both"/>
            </w:pPr>
            <w:r>
              <w:t>S.B. 536</w:t>
            </w:r>
            <w:r>
              <w:t xml:space="preserve"> authorizes </w:t>
            </w:r>
            <w:r>
              <w:t>OCA</w:t>
            </w:r>
            <w:r>
              <w:t xml:space="preserve"> to contract for available county, state, and federal money from any avail</w:t>
            </w:r>
            <w:r>
              <w:t>able source and</w:t>
            </w:r>
            <w:r>
              <w:t xml:space="preserve"> to </w:t>
            </w:r>
            <w:r>
              <w:t>employ personnel</w:t>
            </w:r>
            <w:r>
              <w:t>, who</w:t>
            </w:r>
            <w:r>
              <w:t>m</w:t>
            </w:r>
            <w:r>
              <w:t xml:space="preserve"> the bill establishes as state employees for all purposes,</w:t>
            </w:r>
            <w:r>
              <w:t xml:space="preserve"> necessary to implement and administer the bill'</w:t>
            </w:r>
            <w:r>
              <w:t>s provisions. The bill authorizes the presiding judges of the administrative judicial regions, state agencies, and counties to contract for federal money available from any source to reimburse costs and salaries associated with associate judges and other a</w:t>
            </w:r>
            <w:r>
              <w:t xml:space="preserve">pplicable personnel </w:t>
            </w:r>
            <w:r>
              <w:t xml:space="preserve">appointed under the bill's provisions </w:t>
            </w:r>
            <w:r>
              <w:t xml:space="preserve">and also to use available state money and public or private grants. The bill requires the presiding judges and OCA in cooperation with other agencies to take action necessary to maximize the amount </w:t>
            </w:r>
            <w:r>
              <w:t>of federal money available to fund the use of associate judges</w:t>
            </w:r>
            <w:r>
              <w:t xml:space="preserve">. </w:t>
            </w:r>
          </w:p>
          <w:p w:rsidR="00CB3700" w:rsidRDefault="00587308" w:rsidP="004011D8">
            <w:pPr>
              <w:pStyle w:val="Header"/>
              <w:jc w:val="both"/>
            </w:pPr>
          </w:p>
          <w:p w:rsidR="00463836" w:rsidRDefault="00587308" w:rsidP="004011D8">
            <w:pPr>
              <w:pStyle w:val="Header"/>
              <w:jc w:val="both"/>
            </w:pPr>
            <w:r>
              <w:t>S.B. 536</w:t>
            </w:r>
            <w:r>
              <w:t xml:space="preserve"> expressly does not limit the authority of a presiding judge to assign a judge </w:t>
            </w:r>
            <w:r>
              <w:t xml:space="preserve">eligible for assignment under the </w:t>
            </w:r>
            <w:r>
              <w:t xml:space="preserve">Court Administration Act </w:t>
            </w:r>
            <w:r>
              <w:t xml:space="preserve">to assist in processing guardianship or protective services proceedings in a reasonable time. The bill </w:t>
            </w:r>
            <w:r>
              <w:t>sets out provisions relating to</w:t>
            </w:r>
            <w:r>
              <w:t xml:space="preserve"> the appointment of a visiting associate judge if an associate judge is temporarily unable to perform</w:t>
            </w:r>
            <w:r>
              <w:t xml:space="preserve"> the associate judge'</w:t>
            </w:r>
            <w:r>
              <w:t>s</w:t>
            </w:r>
            <w:r>
              <w:t xml:space="preserve"> official duties</w:t>
            </w:r>
            <w:r>
              <w:t xml:space="preserve"> for certain reasons or if a vacancy in the position occurs</w:t>
            </w:r>
            <w:r>
              <w:t xml:space="preserve">. The bill prohibits an associate judge </w:t>
            </w:r>
            <w:r>
              <w:t xml:space="preserve">appointed under the bill's provisions </w:t>
            </w:r>
            <w:r>
              <w:t>from engaging in the private practice of law</w:t>
            </w:r>
            <w:r>
              <w:t xml:space="preserve"> and</w:t>
            </w:r>
            <w:r>
              <w:t xml:space="preserve"> </w:t>
            </w:r>
            <w:r>
              <w:t>provides for the</w:t>
            </w:r>
            <w:r>
              <w:t xml:space="preserve"> judicial immunity</w:t>
            </w:r>
            <w:r>
              <w:t xml:space="preserve"> of such an associa</w:t>
            </w:r>
            <w:r>
              <w:t>te judge.</w:t>
            </w:r>
            <w:r>
              <w:t xml:space="preserve"> </w:t>
            </w:r>
            <w:r>
              <w:t xml:space="preserve"> </w:t>
            </w:r>
          </w:p>
          <w:p w:rsidR="008423E4" w:rsidRPr="00835628" w:rsidRDefault="00587308" w:rsidP="004011D8">
            <w:pPr>
              <w:pStyle w:val="Header"/>
              <w:jc w:val="both"/>
              <w:rPr>
                <w:b/>
              </w:rPr>
            </w:pPr>
          </w:p>
        </w:tc>
      </w:tr>
      <w:tr w:rsidR="00660D4C" w:rsidTr="00345119">
        <w:tc>
          <w:tcPr>
            <w:tcW w:w="9576" w:type="dxa"/>
          </w:tcPr>
          <w:p w:rsidR="008423E4" w:rsidRPr="00A8133F" w:rsidRDefault="00587308" w:rsidP="004011D8">
            <w:pPr>
              <w:rPr>
                <w:b/>
              </w:rPr>
            </w:pPr>
            <w:r w:rsidRPr="009C1E9A">
              <w:rPr>
                <w:b/>
                <w:u w:val="single"/>
              </w:rPr>
              <w:t>EFFECTIVE DATE</w:t>
            </w:r>
            <w:r>
              <w:rPr>
                <w:b/>
              </w:rPr>
              <w:t xml:space="preserve"> </w:t>
            </w:r>
          </w:p>
          <w:p w:rsidR="008423E4" w:rsidRDefault="00587308" w:rsidP="004011D8"/>
          <w:p w:rsidR="008423E4" w:rsidRPr="003624F2" w:rsidRDefault="00587308" w:rsidP="004011D8">
            <w:pPr>
              <w:pStyle w:val="Header"/>
              <w:tabs>
                <w:tab w:val="clear" w:pos="4320"/>
                <w:tab w:val="clear" w:pos="8640"/>
              </w:tabs>
              <w:jc w:val="both"/>
            </w:pPr>
            <w:r>
              <w:t>September 1, 2019.</w:t>
            </w:r>
          </w:p>
          <w:p w:rsidR="008423E4" w:rsidRPr="00233FDB" w:rsidRDefault="00587308" w:rsidP="004011D8">
            <w:pPr>
              <w:rPr>
                <w:b/>
              </w:rPr>
            </w:pPr>
          </w:p>
        </w:tc>
      </w:tr>
    </w:tbl>
    <w:p w:rsidR="008423E4" w:rsidRPr="00BE0E75" w:rsidRDefault="00587308" w:rsidP="008423E4">
      <w:pPr>
        <w:spacing w:line="480" w:lineRule="auto"/>
        <w:jc w:val="both"/>
        <w:rPr>
          <w:rFonts w:ascii="Arial" w:hAnsi="Arial"/>
          <w:sz w:val="16"/>
          <w:szCs w:val="16"/>
        </w:rPr>
      </w:pPr>
    </w:p>
    <w:p w:rsidR="004108C3" w:rsidRPr="008423E4" w:rsidRDefault="0058730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7308">
      <w:r>
        <w:separator/>
      </w:r>
    </w:p>
  </w:endnote>
  <w:endnote w:type="continuationSeparator" w:id="0">
    <w:p w:rsidR="00000000" w:rsidRDefault="0058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87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60D4C" w:rsidTr="009C1E9A">
      <w:trPr>
        <w:cantSplit/>
      </w:trPr>
      <w:tc>
        <w:tcPr>
          <w:tcW w:w="0" w:type="pct"/>
        </w:tcPr>
        <w:p w:rsidR="00137D90" w:rsidRDefault="00587308" w:rsidP="009C1E9A">
          <w:pPr>
            <w:pStyle w:val="Footer"/>
            <w:tabs>
              <w:tab w:val="clear" w:pos="8640"/>
              <w:tab w:val="right" w:pos="9360"/>
            </w:tabs>
          </w:pPr>
        </w:p>
      </w:tc>
      <w:tc>
        <w:tcPr>
          <w:tcW w:w="2395" w:type="pct"/>
        </w:tcPr>
        <w:p w:rsidR="00137D90" w:rsidRDefault="00587308" w:rsidP="009C1E9A">
          <w:pPr>
            <w:pStyle w:val="Footer"/>
            <w:tabs>
              <w:tab w:val="clear" w:pos="8640"/>
              <w:tab w:val="right" w:pos="9360"/>
            </w:tabs>
          </w:pPr>
        </w:p>
        <w:p w:rsidR="001A4310" w:rsidRDefault="00587308" w:rsidP="009C1E9A">
          <w:pPr>
            <w:pStyle w:val="Footer"/>
            <w:tabs>
              <w:tab w:val="clear" w:pos="8640"/>
              <w:tab w:val="right" w:pos="9360"/>
            </w:tabs>
          </w:pPr>
        </w:p>
        <w:p w:rsidR="00137D90" w:rsidRDefault="00587308" w:rsidP="009C1E9A">
          <w:pPr>
            <w:pStyle w:val="Footer"/>
            <w:tabs>
              <w:tab w:val="clear" w:pos="8640"/>
              <w:tab w:val="right" w:pos="9360"/>
            </w:tabs>
          </w:pPr>
        </w:p>
      </w:tc>
      <w:tc>
        <w:tcPr>
          <w:tcW w:w="2453" w:type="pct"/>
        </w:tcPr>
        <w:p w:rsidR="00137D90" w:rsidRDefault="00587308" w:rsidP="009C1E9A">
          <w:pPr>
            <w:pStyle w:val="Footer"/>
            <w:tabs>
              <w:tab w:val="clear" w:pos="8640"/>
              <w:tab w:val="right" w:pos="9360"/>
            </w:tabs>
            <w:jc w:val="right"/>
          </w:pPr>
        </w:p>
      </w:tc>
    </w:tr>
    <w:tr w:rsidR="00660D4C" w:rsidTr="009C1E9A">
      <w:trPr>
        <w:cantSplit/>
      </w:trPr>
      <w:tc>
        <w:tcPr>
          <w:tcW w:w="0" w:type="pct"/>
        </w:tcPr>
        <w:p w:rsidR="00EC379B" w:rsidRDefault="00587308" w:rsidP="009C1E9A">
          <w:pPr>
            <w:pStyle w:val="Footer"/>
            <w:tabs>
              <w:tab w:val="clear" w:pos="8640"/>
              <w:tab w:val="right" w:pos="9360"/>
            </w:tabs>
          </w:pPr>
        </w:p>
      </w:tc>
      <w:tc>
        <w:tcPr>
          <w:tcW w:w="2395" w:type="pct"/>
        </w:tcPr>
        <w:p w:rsidR="00EC379B" w:rsidRPr="009C1E9A" w:rsidRDefault="00587308" w:rsidP="009C1E9A">
          <w:pPr>
            <w:pStyle w:val="Footer"/>
            <w:tabs>
              <w:tab w:val="clear" w:pos="8640"/>
              <w:tab w:val="right" w:pos="9360"/>
            </w:tabs>
            <w:rPr>
              <w:rFonts w:ascii="Shruti" w:hAnsi="Shruti"/>
              <w:sz w:val="22"/>
            </w:rPr>
          </w:pPr>
          <w:r>
            <w:rPr>
              <w:rFonts w:ascii="Shruti" w:hAnsi="Shruti"/>
              <w:sz w:val="22"/>
            </w:rPr>
            <w:t>86R 32263</w:t>
          </w:r>
        </w:p>
      </w:tc>
      <w:tc>
        <w:tcPr>
          <w:tcW w:w="2453" w:type="pct"/>
        </w:tcPr>
        <w:p w:rsidR="00EC379B" w:rsidRDefault="00587308" w:rsidP="009C1E9A">
          <w:pPr>
            <w:pStyle w:val="Footer"/>
            <w:tabs>
              <w:tab w:val="clear" w:pos="8640"/>
              <w:tab w:val="right" w:pos="9360"/>
            </w:tabs>
            <w:jc w:val="right"/>
          </w:pPr>
          <w:r>
            <w:fldChar w:fldCharType="begin"/>
          </w:r>
          <w:r>
            <w:instrText xml:space="preserve"> DOCPROPERTY  OTID  \* MERGEFORMAT </w:instrText>
          </w:r>
          <w:r>
            <w:fldChar w:fldCharType="separate"/>
          </w:r>
          <w:r>
            <w:t>19.127.224</w:t>
          </w:r>
          <w:r>
            <w:fldChar w:fldCharType="end"/>
          </w:r>
        </w:p>
      </w:tc>
    </w:tr>
    <w:tr w:rsidR="00660D4C" w:rsidTr="009C1E9A">
      <w:trPr>
        <w:cantSplit/>
      </w:trPr>
      <w:tc>
        <w:tcPr>
          <w:tcW w:w="0" w:type="pct"/>
        </w:tcPr>
        <w:p w:rsidR="00EC379B" w:rsidRDefault="00587308" w:rsidP="009C1E9A">
          <w:pPr>
            <w:pStyle w:val="Footer"/>
            <w:tabs>
              <w:tab w:val="clear" w:pos="4320"/>
              <w:tab w:val="clear" w:pos="8640"/>
              <w:tab w:val="left" w:pos="2865"/>
            </w:tabs>
          </w:pPr>
        </w:p>
      </w:tc>
      <w:tc>
        <w:tcPr>
          <w:tcW w:w="2395" w:type="pct"/>
        </w:tcPr>
        <w:p w:rsidR="00EC379B" w:rsidRPr="009C1E9A" w:rsidRDefault="00587308" w:rsidP="009C1E9A">
          <w:pPr>
            <w:pStyle w:val="Footer"/>
            <w:tabs>
              <w:tab w:val="clear" w:pos="4320"/>
              <w:tab w:val="clear" w:pos="8640"/>
              <w:tab w:val="left" w:pos="2865"/>
            </w:tabs>
            <w:rPr>
              <w:rFonts w:ascii="Shruti" w:hAnsi="Shruti"/>
              <w:sz w:val="22"/>
            </w:rPr>
          </w:pPr>
        </w:p>
      </w:tc>
      <w:tc>
        <w:tcPr>
          <w:tcW w:w="2453" w:type="pct"/>
        </w:tcPr>
        <w:p w:rsidR="00EC379B" w:rsidRDefault="00587308" w:rsidP="006D504F">
          <w:pPr>
            <w:pStyle w:val="Footer"/>
            <w:rPr>
              <w:rStyle w:val="PageNumber"/>
            </w:rPr>
          </w:pPr>
        </w:p>
        <w:p w:rsidR="00EC379B" w:rsidRDefault="00587308" w:rsidP="009C1E9A">
          <w:pPr>
            <w:pStyle w:val="Footer"/>
            <w:tabs>
              <w:tab w:val="clear" w:pos="8640"/>
              <w:tab w:val="right" w:pos="9360"/>
            </w:tabs>
            <w:jc w:val="right"/>
          </w:pPr>
        </w:p>
      </w:tc>
    </w:tr>
    <w:tr w:rsidR="00660D4C" w:rsidTr="009C1E9A">
      <w:trPr>
        <w:cantSplit/>
        <w:trHeight w:val="323"/>
      </w:trPr>
      <w:tc>
        <w:tcPr>
          <w:tcW w:w="0" w:type="pct"/>
          <w:gridSpan w:val="3"/>
        </w:tcPr>
        <w:p w:rsidR="00EC379B" w:rsidRDefault="0058730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87308" w:rsidP="009C1E9A">
          <w:pPr>
            <w:pStyle w:val="Footer"/>
            <w:tabs>
              <w:tab w:val="clear" w:pos="8640"/>
              <w:tab w:val="right" w:pos="9360"/>
            </w:tabs>
            <w:jc w:val="center"/>
          </w:pPr>
        </w:p>
      </w:tc>
    </w:tr>
  </w:tbl>
  <w:p w:rsidR="00EC379B" w:rsidRPr="00FF6F72" w:rsidRDefault="0058730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87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7308">
      <w:r>
        <w:separator/>
      </w:r>
    </w:p>
  </w:footnote>
  <w:footnote w:type="continuationSeparator" w:id="0">
    <w:p w:rsidR="00000000" w:rsidRDefault="0058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87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87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8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852C9"/>
    <w:multiLevelType w:val="hybridMultilevel"/>
    <w:tmpl w:val="6DDA9DAC"/>
    <w:lvl w:ilvl="0" w:tplc="A53EEFA0">
      <w:start w:val="1"/>
      <w:numFmt w:val="bullet"/>
      <w:lvlText w:val=""/>
      <w:lvlJc w:val="left"/>
      <w:pPr>
        <w:tabs>
          <w:tab w:val="num" w:pos="720"/>
        </w:tabs>
        <w:ind w:left="720" w:hanging="360"/>
      </w:pPr>
      <w:rPr>
        <w:rFonts w:ascii="Symbol" w:hAnsi="Symbol" w:hint="default"/>
      </w:rPr>
    </w:lvl>
    <w:lvl w:ilvl="1" w:tplc="64A482DC" w:tentative="1">
      <w:start w:val="1"/>
      <w:numFmt w:val="bullet"/>
      <w:lvlText w:val="o"/>
      <w:lvlJc w:val="left"/>
      <w:pPr>
        <w:ind w:left="1440" w:hanging="360"/>
      </w:pPr>
      <w:rPr>
        <w:rFonts w:ascii="Courier New" w:hAnsi="Courier New" w:cs="Courier New" w:hint="default"/>
      </w:rPr>
    </w:lvl>
    <w:lvl w:ilvl="2" w:tplc="C9EAC2A8" w:tentative="1">
      <w:start w:val="1"/>
      <w:numFmt w:val="bullet"/>
      <w:lvlText w:val=""/>
      <w:lvlJc w:val="left"/>
      <w:pPr>
        <w:ind w:left="2160" w:hanging="360"/>
      </w:pPr>
      <w:rPr>
        <w:rFonts w:ascii="Wingdings" w:hAnsi="Wingdings" w:hint="default"/>
      </w:rPr>
    </w:lvl>
    <w:lvl w:ilvl="3" w:tplc="44AE12D6" w:tentative="1">
      <w:start w:val="1"/>
      <w:numFmt w:val="bullet"/>
      <w:lvlText w:val=""/>
      <w:lvlJc w:val="left"/>
      <w:pPr>
        <w:ind w:left="2880" w:hanging="360"/>
      </w:pPr>
      <w:rPr>
        <w:rFonts w:ascii="Symbol" w:hAnsi="Symbol" w:hint="default"/>
      </w:rPr>
    </w:lvl>
    <w:lvl w:ilvl="4" w:tplc="049C25E8" w:tentative="1">
      <w:start w:val="1"/>
      <w:numFmt w:val="bullet"/>
      <w:lvlText w:val="o"/>
      <w:lvlJc w:val="left"/>
      <w:pPr>
        <w:ind w:left="3600" w:hanging="360"/>
      </w:pPr>
      <w:rPr>
        <w:rFonts w:ascii="Courier New" w:hAnsi="Courier New" w:cs="Courier New" w:hint="default"/>
      </w:rPr>
    </w:lvl>
    <w:lvl w:ilvl="5" w:tplc="C0865C8A" w:tentative="1">
      <w:start w:val="1"/>
      <w:numFmt w:val="bullet"/>
      <w:lvlText w:val=""/>
      <w:lvlJc w:val="left"/>
      <w:pPr>
        <w:ind w:left="4320" w:hanging="360"/>
      </w:pPr>
      <w:rPr>
        <w:rFonts w:ascii="Wingdings" w:hAnsi="Wingdings" w:hint="default"/>
      </w:rPr>
    </w:lvl>
    <w:lvl w:ilvl="6" w:tplc="B726A68C" w:tentative="1">
      <w:start w:val="1"/>
      <w:numFmt w:val="bullet"/>
      <w:lvlText w:val=""/>
      <w:lvlJc w:val="left"/>
      <w:pPr>
        <w:ind w:left="5040" w:hanging="360"/>
      </w:pPr>
      <w:rPr>
        <w:rFonts w:ascii="Symbol" w:hAnsi="Symbol" w:hint="default"/>
      </w:rPr>
    </w:lvl>
    <w:lvl w:ilvl="7" w:tplc="BCB4E94C" w:tentative="1">
      <w:start w:val="1"/>
      <w:numFmt w:val="bullet"/>
      <w:lvlText w:val="o"/>
      <w:lvlJc w:val="left"/>
      <w:pPr>
        <w:ind w:left="5760" w:hanging="360"/>
      </w:pPr>
      <w:rPr>
        <w:rFonts w:ascii="Courier New" w:hAnsi="Courier New" w:cs="Courier New" w:hint="default"/>
      </w:rPr>
    </w:lvl>
    <w:lvl w:ilvl="8" w:tplc="B994145A" w:tentative="1">
      <w:start w:val="1"/>
      <w:numFmt w:val="bullet"/>
      <w:lvlText w:val=""/>
      <w:lvlJc w:val="left"/>
      <w:pPr>
        <w:ind w:left="6480" w:hanging="360"/>
      </w:pPr>
      <w:rPr>
        <w:rFonts w:ascii="Wingdings" w:hAnsi="Wingdings" w:hint="default"/>
      </w:rPr>
    </w:lvl>
  </w:abstractNum>
  <w:abstractNum w:abstractNumId="1" w15:restartNumberingAfterBreak="0">
    <w:nsid w:val="5DBA7751"/>
    <w:multiLevelType w:val="hybridMultilevel"/>
    <w:tmpl w:val="62E42056"/>
    <w:lvl w:ilvl="0" w:tplc="DD165542">
      <w:start w:val="1"/>
      <w:numFmt w:val="bullet"/>
      <w:lvlText w:val=""/>
      <w:lvlJc w:val="left"/>
      <w:pPr>
        <w:tabs>
          <w:tab w:val="num" w:pos="720"/>
        </w:tabs>
        <w:ind w:left="720" w:hanging="360"/>
      </w:pPr>
      <w:rPr>
        <w:rFonts w:ascii="Symbol" w:hAnsi="Symbol" w:hint="default"/>
      </w:rPr>
    </w:lvl>
    <w:lvl w:ilvl="1" w:tplc="2D743E2A" w:tentative="1">
      <w:start w:val="1"/>
      <w:numFmt w:val="bullet"/>
      <w:lvlText w:val="o"/>
      <w:lvlJc w:val="left"/>
      <w:pPr>
        <w:ind w:left="1440" w:hanging="360"/>
      </w:pPr>
      <w:rPr>
        <w:rFonts w:ascii="Courier New" w:hAnsi="Courier New" w:cs="Courier New" w:hint="default"/>
      </w:rPr>
    </w:lvl>
    <w:lvl w:ilvl="2" w:tplc="4D867E0C" w:tentative="1">
      <w:start w:val="1"/>
      <w:numFmt w:val="bullet"/>
      <w:lvlText w:val=""/>
      <w:lvlJc w:val="left"/>
      <w:pPr>
        <w:ind w:left="2160" w:hanging="360"/>
      </w:pPr>
      <w:rPr>
        <w:rFonts w:ascii="Wingdings" w:hAnsi="Wingdings" w:hint="default"/>
      </w:rPr>
    </w:lvl>
    <w:lvl w:ilvl="3" w:tplc="1FC66272" w:tentative="1">
      <w:start w:val="1"/>
      <w:numFmt w:val="bullet"/>
      <w:lvlText w:val=""/>
      <w:lvlJc w:val="left"/>
      <w:pPr>
        <w:ind w:left="2880" w:hanging="360"/>
      </w:pPr>
      <w:rPr>
        <w:rFonts w:ascii="Symbol" w:hAnsi="Symbol" w:hint="default"/>
      </w:rPr>
    </w:lvl>
    <w:lvl w:ilvl="4" w:tplc="45FE9250" w:tentative="1">
      <w:start w:val="1"/>
      <w:numFmt w:val="bullet"/>
      <w:lvlText w:val="o"/>
      <w:lvlJc w:val="left"/>
      <w:pPr>
        <w:ind w:left="3600" w:hanging="360"/>
      </w:pPr>
      <w:rPr>
        <w:rFonts w:ascii="Courier New" w:hAnsi="Courier New" w:cs="Courier New" w:hint="default"/>
      </w:rPr>
    </w:lvl>
    <w:lvl w:ilvl="5" w:tplc="ADFE826A" w:tentative="1">
      <w:start w:val="1"/>
      <w:numFmt w:val="bullet"/>
      <w:lvlText w:val=""/>
      <w:lvlJc w:val="left"/>
      <w:pPr>
        <w:ind w:left="4320" w:hanging="360"/>
      </w:pPr>
      <w:rPr>
        <w:rFonts w:ascii="Wingdings" w:hAnsi="Wingdings" w:hint="default"/>
      </w:rPr>
    </w:lvl>
    <w:lvl w:ilvl="6" w:tplc="90CAFD12" w:tentative="1">
      <w:start w:val="1"/>
      <w:numFmt w:val="bullet"/>
      <w:lvlText w:val=""/>
      <w:lvlJc w:val="left"/>
      <w:pPr>
        <w:ind w:left="5040" w:hanging="360"/>
      </w:pPr>
      <w:rPr>
        <w:rFonts w:ascii="Symbol" w:hAnsi="Symbol" w:hint="default"/>
      </w:rPr>
    </w:lvl>
    <w:lvl w:ilvl="7" w:tplc="356AAE14" w:tentative="1">
      <w:start w:val="1"/>
      <w:numFmt w:val="bullet"/>
      <w:lvlText w:val="o"/>
      <w:lvlJc w:val="left"/>
      <w:pPr>
        <w:ind w:left="5760" w:hanging="360"/>
      </w:pPr>
      <w:rPr>
        <w:rFonts w:ascii="Courier New" w:hAnsi="Courier New" w:cs="Courier New" w:hint="default"/>
      </w:rPr>
    </w:lvl>
    <w:lvl w:ilvl="8" w:tplc="A6F466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4C"/>
    <w:rsid w:val="00587308"/>
    <w:rsid w:val="0066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B703CC-2478-4D51-8B9F-704A41AB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6723E"/>
    <w:rPr>
      <w:sz w:val="16"/>
      <w:szCs w:val="16"/>
    </w:rPr>
  </w:style>
  <w:style w:type="paragraph" w:styleId="CommentText">
    <w:name w:val="annotation text"/>
    <w:basedOn w:val="Normal"/>
    <w:link w:val="CommentTextChar"/>
    <w:semiHidden/>
    <w:unhideWhenUsed/>
    <w:rsid w:val="0046723E"/>
    <w:rPr>
      <w:sz w:val="20"/>
      <w:szCs w:val="20"/>
    </w:rPr>
  </w:style>
  <w:style w:type="character" w:customStyle="1" w:styleId="CommentTextChar">
    <w:name w:val="Comment Text Char"/>
    <w:basedOn w:val="DefaultParagraphFont"/>
    <w:link w:val="CommentText"/>
    <w:semiHidden/>
    <w:rsid w:val="0046723E"/>
  </w:style>
  <w:style w:type="paragraph" w:styleId="CommentSubject">
    <w:name w:val="annotation subject"/>
    <w:basedOn w:val="CommentText"/>
    <w:next w:val="CommentText"/>
    <w:link w:val="CommentSubjectChar"/>
    <w:semiHidden/>
    <w:unhideWhenUsed/>
    <w:rsid w:val="0046723E"/>
    <w:rPr>
      <w:b/>
      <w:bCs/>
    </w:rPr>
  </w:style>
  <w:style w:type="character" w:customStyle="1" w:styleId="CommentSubjectChar">
    <w:name w:val="Comment Subject Char"/>
    <w:basedOn w:val="CommentTextChar"/>
    <w:link w:val="CommentSubject"/>
    <w:semiHidden/>
    <w:rsid w:val="0046723E"/>
    <w:rPr>
      <w:b/>
      <w:bCs/>
    </w:rPr>
  </w:style>
  <w:style w:type="paragraph" w:styleId="Revision">
    <w:name w:val="Revision"/>
    <w:hidden/>
    <w:uiPriority w:val="99"/>
    <w:semiHidden/>
    <w:rsid w:val="00467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5429</Characters>
  <Application>Microsoft Office Word</Application>
  <DocSecurity>4</DocSecurity>
  <Lines>101</Lines>
  <Paragraphs>21</Paragraphs>
  <ScaleCrop>false</ScaleCrop>
  <HeadingPairs>
    <vt:vector size="2" baseType="variant">
      <vt:variant>
        <vt:lpstr>Title</vt:lpstr>
      </vt:variant>
      <vt:variant>
        <vt:i4>1</vt:i4>
      </vt:variant>
    </vt:vector>
  </HeadingPairs>
  <TitlesOfParts>
    <vt:vector size="1" baseType="lpstr">
      <vt:lpstr>BA - SB00536 (Committee Report (Unamended))</vt:lpstr>
    </vt:vector>
  </TitlesOfParts>
  <Company>State of Texas</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32263</dc:subject>
  <dc:creator>State of Texas</dc:creator>
  <dc:description>SB 536 by Zaffirini-(H)Judiciary &amp; Civil Jurisprudence</dc:description>
  <cp:lastModifiedBy>Erin Conway</cp:lastModifiedBy>
  <cp:revision>2</cp:revision>
  <cp:lastPrinted>2003-11-26T17:21:00Z</cp:lastPrinted>
  <dcterms:created xsi:type="dcterms:W3CDTF">2019-05-07T19:59:00Z</dcterms:created>
  <dcterms:modified xsi:type="dcterms:W3CDTF">2019-05-07T19:59:00Z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19.127.224</vt:lpwstr>
  </property>
</Properties>
</file>