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20" w:rsidRDefault="00500A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53A6A9281644039C91E45A3E9E19FD"/>
          </w:placeholder>
        </w:sdtPr>
        <w:sdtContent>
          <w:r w:rsidRPr="005C2A78">
            <w:rPr>
              <w:rFonts w:cs="Times New Roman"/>
              <w:b/>
              <w:szCs w:val="24"/>
              <w:u w:val="single"/>
            </w:rPr>
            <w:t>BILL ANALYSIS</w:t>
          </w:r>
        </w:sdtContent>
      </w:sdt>
    </w:p>
    <w:p w:rsidR="00500A20" w:rsidRPr="00585C31" w:rsidRDefault="00500A20" w:rsidP="000F1DF9">
      <w:pPr>
        <w:spacing w:after="0" w:line="240" w:lineRule="auto"/>
        <w:rPr>
          <w:rFonts w:cs="Times New Roman"/>
          <w:szCs w:val="24"/>
        </w:rPr>
      </w:pPr>
    </w:p>
    <w:p w:rsidR="00500A20" w:rsidRPr="00585C31" w:rsidRDefault="00500A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0A20" w:rsidTr="000F1DF9">
        <w:tc>
          <w:tcPr>
            <w:tcW w:w="2718" w:type="dxa"/>
          </w:tcPr>
          <w:p w:rsidR="00500A20" w:rsidRPr="005C2A78" w:rsidRDefault="00500A20" w:rsidP="006D756B">
            <w:pPr>
              <w:rPr>
                <w:rFonts w:cs="Times New Roman"/>
                <w:szCs w:val="24"/>
              </w:rPr>
            </w:pPr>
            <w:sdt>
              <w:sdtPr>
                <w:rPr>
                  <w:rFonts w:cs="Times New Roman"/>
                  <w:szCs w:val="24"/>
                </w:rPr>
                <w:alias w:val="Agency Title"/>
                <w:tag w:val="AgencyTitleContentControl"/>
                <w:id w:val="1920747753"/>
                <w:lock w:val="sdtContentLocked"/>
                <w:placeholder>
                  <w:docPart w:val="2CE41AA5F844486F8CF85803C198928C"/>
                </w:placeholder>
              </w:sdtPr>
              <w:sdtEndPr>
                <w:rPr>
                  <w:rFonts w:cstheme="minorBidi"/>
                  <w:szCs w:val="22"/>
                </w:rPr>
              </w:sdtEndPr>
              <w:sdtContent>
                <w:r>
                  <w:rPr>
                    <w:rFonts w:cs="Times New Roman"/>
                    <w:szCs w:val="24"/>
                  </w:rPr>
                  <w:t>Senate Research Center</w:t>
                </w:r>
              </w:sdtContent>
            </w:sdt>
          </w:p>
        </w:tc>
        <w:tc>
          <w:tcPr>
            <w:tcW w:w="6858" w:type="dxa"/>
          </w:tcPr>
          <w:p w:rsidR="00500A20" w:rsidRPr="00FF6471" w:rsidRDefault="00500A20" w:rsidP="000F1DF9">
            <w:pPr>
              <w:jc w:val="right"/>
              <w:rPr>
                <w:rFonts w:cs="Times New Roman"/>
                <w:szCs w:val="24"/>
              </w:rPr>
            </w:pPr>
            <w:sdt>
              <w:sdtPr>
                <w:rPr>
                  <w:rFonts w:cs="Times New Roman"/>
                  <w:szCs w:val="24"/>
                </w:rPr>
                <w:alias w:val="Bill Number"/>
                <w:tag w:val="BillNumberOne"/>
                <w:id w:val="-410784069"/>
                <w:lock w:val="sdtContentLocked"/>
                <w:placeholder>
                  <w:docPart w:val="474BCAB617ED435EB532A913E80B79BC"/>
                </w:placeholder>
              </w:sdtPr>
              <w:sdtContent>
                <w:r>
                  <w:rPr>
                    <w:rFonts w:cs="Times New Roman"/>
                    <w:szCs w:val="24"/>
                  </w:rPr>
                  <w:t>S.B. 548</w:t>
                </w:r>
              </w:sdtContent>
            </w:sdt>
          </w:p>
        </w:tc>
      </w:tr>
      <w:tr w:rsidR="00500A20" w:rsidTr="000F1DF9">
        <w:sdt>
          <w:sdtPr>
            <w:rPr>
              <w:rFonts w:cs="Times New Roman"/>
              <w:szCs w:val="24"/>
            </w:rPr>
            <w:alias w:val="TLCNumber"/>
            <w:tag w:val="TLCNumber"/>
            <w:id w:val="-542600604"/>
            <w:lock w:val="sdtLocked"/>
            <w:placeholder>
              <w:docPart w:val="AEBFBE1D7B794978819BBAB80FC2293A"/>
            </w:placeholder>
            <w:showingPlcHdr/>
          </w:sdtPr>
          <w:sdtContent>
            <w:tc>
              <w:tcPr>
                <w:tcW w:w="2718" w:type="dxa"/>
              </w:tcPr>
              <w:p w:rsidR="00500A20" w:rsidRPr="000F1DF9" w:rsidRDefault="00500A20" w:rsidP="00C65088">
                <w:pPr>
                  <w:rPr>
                    <w:rFonts w:cs="Times New Roman"/>
                    <w:szCs w:val="24"/>
                  </w:rPr>
                </w:pPr>
              </w:p>
            </w:tc>
          </w:sdtContent>
        </w:sdt>
        <w:tc>
          <w:tcPr>
            <w:tcW w:w="6858" w:type="dxa"/>
          </w:tcPr>
          <w:p w:rsidR="00500A20" w:rsidRPr="005C2A78" w:rsidRDefault="00500A20" w:rsidP="006D756B">
            <w:pPr>
              <w:jc w:val="right"/>
              <w:rPr>
                <w:rFonts w:cs="Times New Roman"/>
                <w:szCs w:val="24"/>
              </w:rPr>
            </w:pPr>
            <w:sdt>
              <w:sdtPr>
                <w:rPr>
                  <w:rFonts w:cs="Times New Roman"/>
                  <w:szCs w:val="24"/>
                </w:rPr>
                <w:alias w:val="Author Label"/>
                <w:tag w:val="By"/>
                <w:id w:val="72399597"/>
                <w:lock w:val="sdtLocked"/>
                <w:placeholder>
                  <w:docPart w:val="A63B4D599334471CA08D6ED827589B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770C8714EC4C2F98145AC755D63749"/>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59E67814141B4DEA9158EC70B521250B"/>
                </w:placeholder>
                <w:showingPlcHdr/>
              </w:sdtPr>
              <w:sdtContent/>
            </w:sdt>
          </w:p>
        </w:tc>
      </w:tr>
      <w:tr w:rsidR="00500A20" w:rsidTr="000F1DF9">
        <w:tc>
          <w:tcPr>
            <w:tcW w:w="2718" w:type="dxa"/>
          </w:tcPr>
          <w:p w:rsidR="00500A20" w:rsidRPr="00BC7495" w:rsidRDefault="00500A20" w:rsidP="000F1DF9">
            <w:pPr>
              <w:rPr>
                <w:rFonts w:cs="Times New Roman"/>
                <w:szCs w:val="24"/>
              </w:rPr>
            </w:pPr>
          </w:p>
        </w:tc>
        <w:sdt>
          <w:sdtPr>
            <w:rPr>
              <w:rFonts w:cs="Times New Roman"/>
              <w:szCs w:val="24"/>
            </w:rPr>
            <w:alias w:val="Committee"/>
            <w:tag w:val="Committee"/>
            <w:id w:val="1914272295"/>
            <w:lock w:val="sdtContentLocked"/>
            <w:placeholder>
              <w:docPart w:val="B103BC4AAFFA42FB9B5628FE39BFEA6F"/>
            </w:placeholder>
          </w:sdtPr>
          <w:sdtContent>
            <w:tc>
              <w:tcPr>
                <w:tcW w:w="6858" w:type="dxa"/>
              </w:tcPr>
              <w:p w:rsidR="00500A20" w:rsidRPr="00FF6471" w:rsidRDefault="00500A20" w:rsidP="000F1DF9">
                <w:pPr>
                  <w:jc w:val="right"/>
                  <w:rPr>
                    <w:rFonts w:cs="Times New Roman"/>
                    <w:szCs w:val="24"/>
                  </w:rPr>
                </w:pPr>
                <w:r>
                  <w:rPr>
                    <w:rFonts w:cs="Times New Roman"/>
                    <w:szCs w:val="24"/>
                  </w:rPr>
                  <w:t>State Affairs</w:t>
                </w:r>
              </w:p>
            </w:tc>
          </w:sdtContent>
        </w:sdt>
      </w:tr>
      <w:tr w:rsidR="00500A20" w:rsidTr="000F1DF9">
        <w:tc>
          <w:tcPr>
            <w:tcW w:w="2718" w:type="dxa"/>
          </w:tcPr>
          <w:p w:rsidR="00500A20" w:rsidRPr="00BC7495" w:rsidRDefault="00500A20" w:rsidP="000F1DF9">
            <w:pPr>
              <w:rPr>
                <w:rFonts w:cs="Times New Roman"/>
                <w:szCs w:val="24"/>
              </w:rPr>
            </w:pPr>
          </w:p>
        </w:tc>
        <w:sdt>
          <w:sdtPr>
            <w:rPr>
              <w:rFonts w:cs="Times New Roman"/>
              <w:szCs w:val="24"/>
            </w:rPr>
            <w:alias w:val="Date"/>
            <w:tag w:val="DateContentControl"/>
            <w:id w:val="1178081906"/>
            <w:lock w:val="sdtLocked"/>
            <w:placeholder>
              <w:docPart w:val="469EE99C9CB84691B463B359011EC284"/>
            </w:placeholder>
            <w:date w:fullDate="2019-06-24T00:00:00Z">
              <w:dateFormat w:val="M/d/yyyy"/>
              <w:lid w:val="en-US"/>
              <w:storeMappedDataAs w:val="dateTime"/>
              <w:calendar w:val="gregorian"/>
            </w:date>
          </w:sdtPr>
          <w:sdtContent>
            <w:tc>
              <w:tcPr>
                <w:tcW w:w="6858" w:type="dxa"/>
              </w:tcPr>
              <w:p w:rsidR="00500A20" w:rsidRPr="00FF6471" w:rsidRDefault="00500A20" w:rsidP="000F1DF9">
                <w:pPr>
                  <w:jc w:val="right"/>
                  <w:rPr>
                    <w:rFonts w:cs="Times New Roman"/>
                    <w:szCs w:val="24"/>
                  </w:rPr>
                </w:pPr>
                <w:r>
                  <w:rPr>
                    <w:rFonts w:cs="Times New Roman"/>
                    <w:szCs w:val="24"/>
                  </w:rPr>
                  <w:t>6/24/2019</w:t>
                </w:r>
              </w:p>
            </w:tc>
          </w:sdtContent>
        </w:sdt>
      </w:tr>
      <w:tr w:rsidR="00500A20" w:rsidTr="000F1DF9">
        <w:tc>
          <w:tcPr>
            <w:tcW w:w="2718" w:type="dxa"/>
          </w:tcPr>
          <w:p w:rsidR="00500A20" w:rsidRPr="00BC7495" w:rsidRDefault="00500A20" w:rsidP="000F1DF9">
            <w:pPr>
              <w:rPr>
                <w:rFonts w:cs="Times New Roman"/>
                <w:szCs w:val="24"/>
              </w:rPr>
            </w:pPr>
          </w:p>
        </w:tc>
        <w:sdt>
          <w:sdtPr>
            <w:rPr>
              <w:rFonts w:cs="Times New Roman"/>
              <w:szCs w:val="24"/>
            </w:rPr>
            <w:alias w:val="BA Version"/>
            <w:tag w:val="BAVersion"/>
            <w:id w:val="-1685590809"/>
            <w:lock w:val="sdtContentLocked"/>
            <w:placeholder>
              <w:docPart w:val="610765E3DAB74F75A106ECE25840F76D"/>
            </w:placeholder>
          </w:sdtPr>
          <w:sdtContent>
            <w:tc>
              <w:tcPr>
                <w:tcW w:w="6858" w:type="dxa"/>
              </w:tcPr>
              <w:p w:rsidR="00500A20" w:rsidRPr="00FF6471" w:rsidRDefault="00500A20" w:rsidP="000F1DF9">
                <w:pPr>
                  <w:jc w:val="right"/>
                  <w:rPr>
                    <w:rFonts w:cs="Times New Roman"/>
                    <w:szCs w:val="24"/>
                  </w:rPr>
                </w:pPr>
                <w:r>
                  <w:rPr>
                    <w:rFonts w:cs="Times New Roman"/>
                    <w:szCs w:val="24"/>
                  </w:rPr>
                  <w:t>Enrolled</w:t>
                </w:r>
              </w:p>
            </w:tc>
          </w:sdtContent>
        </w:sdt>
      </w:tr>
    </w:tbl>
    <w:p w:rsidR="00500A20" w:rsidRPr="00FF6471" w:rsidRDefault="00500A20" w:rsidP="000F1DF9">
      <w:pPr>
        <w:spacing w:after="0" w:line="240" w:lineRule="auto"/>
        <w:rPr>
          <w:rFonts w:cs="Times New Roman"/>
          <w:szCs w:val="24"/>
        </w:rPr>
      </w:pPr>
    </w:p>
    <w:p w:rsidR="00500A20" w:rsidRPr="00FF6471" w:rsidRDefault="00500A20" w:rsidP="000F1DF9">
      <w:pPr>
        <w:spacing w:after="0" w:line="240" w:lineRule="auto"/>
        <w:rPr>
          <w:rFonts w:cs="Times New Roman"/>
          <w:szCs w:val="24"/>
        </w:rPr>
      </w:pPr>
    </w:p>
    <w:p w:rsidR="00500A20" w:rsidRPr="00FF6471" w:rsidRDefault="00500A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3A183B87D34E79ADB2BB6173245215"/>
        </w:placeholder>
      </w:sdtPr>
      <w:sdtContent>
        <w:p w:rsidR="00500A20" w:rsidRDefault="00500A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B1E697063D4A35BD8ECC66990DE50A"/>
        </w:placeholder>
      </w:sdtPr>
      <w:sdtEndPr>
        <w:rPr>
          <w:rFonts w:cs="Times New Roman"/>
          <w:szCs w:val="24"/>
        </w:rPr>
      </w:sdtEndPr>
      <w:sdtContent>
        <w:p w:rsidR="00500A20" w:rsidRDefault="00500A20" w:rsidP="00500A20">
          <w:pPr>
            <w:pStyle w:val="NormalWeb"/>
            <w:spacing w:before="0" w:beforeAutospacing="0" w:after="0" w:afterAutospacing="0"/>
            <w:jc w:val="both"/>
            <w:divId w:val="198905448"/>
            <w:rPr>
              <w:rFonts w:eastAsia="Times New Roman"/>
              <w:bCs/>
            </w:rPr>
          </w:pPr>
        </w:p>
        <w:p w:rsidR="00500A20" w:rsidRPr="00A21889" w:rsidRDefault="00500A20" w:rsidP="00500A20">
          <w:pPr>
            <w:pStyle w:val="NormalWeb"/>
            <w:spacing w:before="0" w:beforeAutospacing="0" w:after="0" w:afterAutospacing="0"/>
            <w:jc w:val="both"/>
            <w:divId w:val="198905448"/>
            <w:rPr>
              <w:rFonts w:eastAsia="Times New Roman"/>
              <w:bCs/>
            </w:rPr>
          </w:pPr>
          <w:r w:rsidRPr="00957A8F">
            <w:t>The intent of this legislation is to provide the Texas Ethics Commission (TEC) with clear direction on how to carry out their duties and to help ensure elected officials and political action committees are in compliance with the laws passed by the legislature, as well as providing a due process standard to protect those against whom a complaint is filed.</w:t>
          </w:r>
        </w:p>
        <w:p w:rsidR="00500A20" w:rsidRPr="00957A8F" w:rsidRDefault="00500A20" w:rsidP="00500A20">
          <w:pPr>
            <w:pStyle w:val="NormalWeb"/>
            <w:spacing w:before="0" w:beforeAutospacing="0" w:after="0" w:afterAutospacing="0"/>
            <w:jc w:val="both"/>
            <w:divId w:val="198905448"/>
          </w:pPr>
          <w:r w:rsidRPr="00957A8F">
            <w:t> </w:t>
          </w:r>
        </w:p>
        <w:p w:rsidR="00500A20" w:rsidRPr="00957A8F" w:rsidRDefault="00500A20" w:rsidP="00500A20">
          <w:pPr>
            <w:pStyle w:val="NormalWeb"/>
            <w:spacing w:before="0" w:beforeAutospacing="0" w:after="0" w:afterAutospacing="0"/>
            <w:jc w:val="both"/>
            <w:divId w:val="198905448"/>
          </w:pPr>
          <w:r w:rsidRPr="00957A8F">
            <w:t xml:space="preserve">This bill will address issues at </w:t>
          </w:r>
          <w:r>
            <w:t>TEC</w:t>
          </w:r>
          <w:r w:rsidRPr="00957A8F">
            <w:t xml:space="preserve"> having to do with issuing advisory opinions. Current law requires </w:t>
          </w:r>
          <w:r>
            <w:t>TEC</w:t>
          </w:r>
          <w:r w:rsidRPr="00957A8F">
            <w:t xml:space="preserve"> to adopt an opinion within 60 days after the request is made, though </w:t>
          </w:r>
          <w:r>
            <w:t>TEC</w:t>
          </w:r>
          <w:r w:rsidRPr="00957A8F">
            <w:t xml:space="preserve"> has the ability to grant itself two 30 day extensions. In practice, </w:t>
          </w:r>
          <w:r>
            <w:t>TEC</w:t>
          </w:r>
          <w:r w:rsidRPr="00957A8F">
            <w:t xml:space="preserve"> frequently exceeds this time frame. The bill provides a person with a defense to prosecution/civil penalties if </w:t>
          </w:r>
          <w:r>
            <w:t>TEC</w:t>
          </w:r>
          <w:r w:rsidRPr="00957A8F">
            <w:t xml:space="preserve"> doesn’t adopt an advisory opinion regarding the facts after </w:t>
          </w:r>
          <w:r>
            <w:t>TEC</w:t>
          </w:r>
          <w:r w:rsidRPr="00957A8F">
            <w:t xml:space="preserve"> has had 120 days to deliberate over it. This assists the regulated community, such that if </w:t>
          </w:r>
          <w:r>
            <w:t>TEC</w:t>
          </w:r>
          <w:r w:rsidRPr="00957A8F">
            <w:t xml:space="preserve"> does not fulfill its statutory duty, the person requesting the opinion can’t be held liable for not following the law if they requested an opinion for guidance on the law. The language also clarifies that the defense to prosecution only applies to potential violations of the law or rule that occur between the period starting after the opinion is required by law and the date </w:t>
          </w:r>
          <w:r>
            <w:t>TEC</w:t>
          </w:r>
          <w:r w:rsidRPr="00957A8F">
            <w:t xml:space="preserve"> adopts the advisory opinion.</w:t>
          </w:r>
        </w:p>
        <w:p w:rsidR="00500A20" w:rsidRPr="00957A8F" w:rsidRDefault="00500A20" w:rsidP="00500A20">
          <w:pPr>
            <w:pStyle w:val="NormalWeb"/>
            <w:spacing w:before="0" w:beforeAutospacing="0" w:after="0" w:afterAutospacing="0"/>
            <w:jc w:val="both"/>
            <w:divId w:val="198905448"/>
          </w:pPr>
          <w:r w:rsidRPr="00957A8F">
            <w:t> </w:t>
          </w:r>
        </w:p>
        <w:p w:rsidR="00500A20" w:rsidRPr="00957A8F" w:rsidRDefault="00500A20" w:rsidP="00500A20">
          <w:pPr>
            <w:pStyle w:val="NormalWeb"/>
            <w:spacing w:before="0" w:beforeAutospacing="0" w:after="0" w:afterAutospacing="0"/>
            <w:jc w:val="both"/>
            <w:divId w:val="198905448"/>
          </w:pPr>
          <w:r w:rsidRPr="00957A8F">
            <w:t xml:space="preserve">The bill allows for a statement, registration, or report to be corrected or amended within a 14 day period without a late filing penalty regardless of whether the filee or another person has filed a sworn complaint pertaining to the statement. This bill also adds language that will require </w:t>
          </w:r>
          <w:r>
            <w:t>TEC</w:t>
          </w:r>
          <w:r w:rsidRPr="00957A8F">
            <w:t xml:space="preserve"> to dismiss a complaint if the respondent has filed a corrected or amended statement prior to </w:t>
          </w:r>
          <w:r>
            <w:t>TEC</w:t>
          </w:r>
          <w:r w:rsidRPr="00957A8F">
            <w:t xml:space="preserve"> accepting jurisdiction over the complaint and the corrected statement remedies the alleged violation of law or rule.</w:t>
          </w:r>
        </w:p>
        <w:p w:rsidR="00500A20" w:rsidRPr="00957A8F" w:rsidRDefault="00500A20" w:rsidP="00500A20">
          <w:pPr>
            <w:pStyle w:val="NormalWeb"/>
            <w:spacing w:before="0" w:beforeAutospacing="0" w:after="0" w:afterAutospacing="0"/>
            <w:jc w:val="both"/>
            <w:divId w:val="198905448"/>
          </w:pPr>
          <w:r w:rsidRPr="00957A8F">
            <w:t> </w:t>
          </w:r>
        </w:p>
        <w:p w:rsidR="00500A20" w:rsidRPr="00957A8F" w:rsidRDefault="00500A20" w:rsidP="00500A20">
          <w:pPr>
            <w:pStyle w:val="NormalWeb"/>
            <w:spacing w:before="0" w:beforeAutospacing="0" w:after="0" w:afterAutospacing="0"/>
            <w:jc w:val="both"/>
            <w:divId w:val="198905448"/>
          </w:pPr>
          <w:r w:rsidRPr="00957A8F">
            <w:t>This bill allows for jurisdiction decisions to remain with the executive director, however, the bill gives the ability of a complainant or a respondent to appeal the executive director's decision to the full commission.</w:t>
          </w:r>
        </w:p>
        <w:p w:rsidR="00500A20" w:rsidRPr="00957A8F" w:rsidRDefault="00500A20" w:rsidP="00500A20">
          <w:pPr>
            <w:pStyle w:val="NormalWeb"/>
            <w:spacing w:before="0" w:beforeAutospacing="0" w:after="0" w:afterAutospacing="0"/>
            <w:jc w:val="both"/>
            <w:divId w:val="198905448"/>
          </w:pPr>
          <w:r w:rsidRPr="00957A8F">
            <w:t> </w:t>
          </w:r>
        </w:p>
        <w:p w:rsidR="00500A20" w:rsidRPr="00957A8F" w:rsidRDefault="00500A20" w:rsidP="00500A20">
          <w:pPr>
            <w:pStyle w:val="NormalWeb"/>
            <w:spacing w:before="0" w:beforeAutospacing="0" w:after="0" w:afterAutospacing="0"/>
            <w:jc w:val="both"/>
            <w:divId w:val="198905448"/>
          </w:pPr>
          <w:r w:rsidRPr="00957A8F">
            <w:t xml:space="preserve">Current statute (Section 571.1242) already places limits on when the matter must be resolved by agreement between </w:t>
          </w:r>
          <w:r>
            <w:t>TEC</w:t>
          </w:r>
          <w:r w:rsidRPr="00957A8F">
            <w:t xml:space="preserve"> and the respondent. If Category One, it’s 30 business days after the respondent receives notice of the complaint; if Category Two, it’s 75 business days. If the resolution has not occurred, </w:t>
          </w:r>
          <w:r>
            <w:t>TEC</w:t>
          </w:r>
          <w:r w:rsidRPr="00957A8F">
            <w:t xml:space="preserve"> is supposed to set the matter for a preliminary review for the next </w:t>
          </w:r>
          <w:r>
            <w:t>TEC</w:t>
          </w:r>
          <w:r w:rsidRPr="00957A8F">
            <w:t xml:space="preserve"> meeting. Currently, TEC is not following this statute. Rather than setting a hard deadline this proposal would require </w:t>
          </w:r>
          <w:r>
            <w:t>TEC</w:t>
          </w:r>
          <w:r w:rsidRPr="00957A8F">
            <w:t xml:space="preserve"> to act within 120 days after receiving responses, either to the initial complaint or to written questions provided by TEC for further discovery of a matter relevant to the investigation, and if no resolution is proposed by TEC within that 120 days, the complaint is dismissed and cannot be refiled based on the same facts. This bill will also add language that would require the 120 day period to be tolled for the duration of any litigation brought by the respondent or </w:t>
          </w:r>
          <w:r>
            <w:t>TEC</w:t>
          </w:r>
          <w:r w:rsidRPr="00957A8F">
            <w:t xml:space="preserve"> regarding the complaint at issue.</w:t>
          </w:r>
        </w:p>
        <w:p w:rsidR="00500A20" w:rsidRPr="00957A8F" w:rsidRDefault="00500A20" w:rsidP="00500A20">
          <w:pPr>
            <w:pStyle w:val="NormalWeb"/>
            <w:spacing w:before="0" w:beforeAutospacing="0" w:after="0" w:afterAutospacing="0"/>
            <w:jc w:val="both"/>
            <w:divId w:val="198905448"/>
          </w:pPr>
          <w:r w:rsidRPr="00957A8F">
            <w:t> </w:t>
          </w:r>
        </w:p>
        <w:p w:rsidR="00500A20" w:rsidRPr="00957A8F" w:rsidRDefault="00500A20" w:rsidP="00500A20">
          <w:pPr>
            <w:pStyle w:val="NormalWeb"/>
            <w:spacing w:before="0" w:beforeAutospacing="0" w:after="0" w:afterAutospacing="0"/>
            <w:jc w:val="both"/>
            <w:divId w:val="198905448"/>
          </w:pPr>
          <w:r w:rsidRPr="00957A8F">
            <w:t>Lastly, this bill allows respondent, through counsel and in accordance with the rules of civil procedure, to subpoena witnesses to appear at a preliminary review hearing and at a formal hearing. (Original Author's/Sponsor's Statement of Intent)</w:t>
          </w:r>
        </w:p>
        <w:p w:rsidR="00500A20" w:rsidRPr="00A21889" w:rsidRDefault="00500A20" w:rsidP="00500A20">
          <w:pPr>
            <w:pStyle w:val="NormalWeb"/>
            <w:spacing w:before="0" w:beforeAutospacing="0" w:after="0" w:afterAutospacing="0"/>
            <w:jc w:val="both"/>
            <w:divId w:val="198905448"/>
          </w:pPr>
          <w:r w:rsidRPr="00957A8F">
            <w:t> </w:t>
          </w:r>
        </w:p>
      </w:sdtContent>
    </w:sdt>
    <w:p w:rsidR="00500A20" w:rsidRDefault="00500A20" w:rsidP="00957A8F">
      <w:pPr>
        <w:rPr>
          <w:rFonts w:cs="Times New Roman"/>
          <w:szCs w:val="24"/>
        </w:rPr>
      </w:pPr>
      <w:bookmarkStart w:id="0" w:name="EnrolledProposed"/>
      <w:bookmarkEnd w:id="0"/>
      <w:r>
        <w:rPr>
          <w:rFonts w:cs="Times New Roman"/>
          <w:szCs w:val="24"/>
        </w:rPr>
        <w:t xml:space="preserve">S.B. 548 </w:t>
      </w:r>
      <w:bookmarkStart w:id="1" w:name="AmendsCurrentLaw"/>
      <w:bookmarkEnd w:id="1"/>
      <w:r>
        <w:rPr>
          <w:rFonts w:cs="Times New Roman"/>
          <w:szCs w:val="24"/>
        </w:rPr>
        <w:t xml:space="preserve">amends current law </w:t>
      </w:r>
      <w:r w:rsidRPr="00957A8F">
        <w:rPr>
          <w:rFonts w:cs="Times New Roman"/>
          <w:szCs w:val="24"/>
        </w:rPr>
        <w:t xml:space="preserve">relating to complaints filed with and certain other filings submitted </w:t>
      </w:r>
      <w:r>
        <w:rPr>
          <w:rFonts w:cs="Times New Roman"/>
          <w:szCs w:val="24"/>
        </w:rPr>
        <w:t>to the Texas Ethics Commission.</w:t>
      </w:r>
    </w:p>
    <w:p w:rsidR="00500A20" w:rsidRPr="00957A8F" w:rsidRDefault="00500A20" w:rsidP="00957A8F">
      <w:pPr>
        <w:rPr>
          <w:rFonts w:cs="Times New Roman"/>
          <w:szCs w:val="24"/>
        </w:rPr>
      </w:pPr>
    </w:p>
    <w:p w:rsidR="00500A20" w:rsidRPr="005C2A78" w:rsidRDefault="00500A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D1C41325904908AA5D42B8AADD1469"/>
          </w:placeholder>
        </w:sdtPr>
        <w:sdtContent>
          <w:r>
            <w:rPr>
              <w:rFonts w:eastAsia="Times New Roman" w:cs="Times New Roman"/>
              <w:b/>
              <w:szCs w:val="24"/>
              <w:u w:val="single"/>
            </w:rPr>
            <w:t>RULEMAKING AUTHORITY</w:t>
          </w:r>
        </w:sdtContent>
      </w:sdt>
    </w:p>
    <w:p w:rsidR="00500A20" w:rsidRPr="006529C4" w:rsidRDefault="00500A20" w:rsidP="00774EC7">
      <w:pPr>
        <w:spacing w:after="0" w:line="240" w:lineRule="auto"/>
        <w:jc w:val="both"/>
        <w:rPr>
          <w:rFonts w:cs="Times New Roman"/>
          <w:szCs w:val="24"/>
        </w:rPr>
      </w:pPr>
    </w:p>
    <w:p w:rsidR="00500A20" w:rsidRPr="006529C4" w:rsidRDefault="00500A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0A20" w:rsidRPr="006529C4" w:rsidRDefault="00500A20" w:rsidP="00774EC7">
      <w:pPr>
        <w:spacing w:after="0" w:line="240" w:lineRule="auto"/>
        <w:jc w:val="both"/>
        <w:rPr>
          <w:rFonts w:cs="Times New Roman"/>
          <w:szCs w:val="24"/>
        </w:rPr>
      </w:pPr>
    </w:p>
    <w:p w:rsidR="00500A20" w:rsidRPr="005C2A78" w:rsidRDefault="00500A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8790F310934C989D594E8C720C6684"/>
          </w:placeholder>
        </w:sdtPr>
        <w:sdtContent>
          <w:r>
            <w:rPr>
              <w:rFonts w:eastAsia="Times New Roman" w:cs="Times New Roman"/>
              <w:b/>
              <w:szCs w:val="24"/>
              <w:u w:val="single"/>
            </w:rPr>
            <w:t>SECTION BY SECTION ANALYSIS</w:t>
          </w:r>
        </w:sdtContent>
      </w:sdt>
    </w:p>
    <w:p w:rsidR="00500A20" w:rsidRPr="005C2A78" w:rsidRDefault="00500A20" w:rsidP="000F1DF9">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571.0771(b), Government Code,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(b) Provides that Subsection (a) (relating to circumstances under which a statement, registration, or report is not considered late) does not apply to:</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1440"/>
        <w:jc w:val="both"/>
        <w:rPr>
          <w:rFonts w:eastAsia="Times New Roman" w:cs="Times New Roman"/>
          <w:szCs w:val="24"/>
        </w:rPr>
      </w:pPr>
      <w:r>
        <w:rPr>
          <w:rFonts w:eastAsia="Times New Roman" w:cs="Times New Roman"/>
          <w:szCs w:val="24"/>
        </w:rPr>
        <w:t>(1) a penalty imposed under Section 571.069 (Review of Statements a</w:t>
      </w:r>
      <w:r w:rsidRPr="00711595">
        <w:rPr>
          <w:rFonts w:eastAsia="Times New Roman" w:cs="Times New Roman"/>
          <w:szCs w:val="24"/>
        </w:rPr>
        <w:t>nd Reports; Audits</w:t>
      </w:r>
      <w:r>
        <w:rPr>
          <w:rFonts w:eastAsia="Times New Roman" w:cs="Times New Roman"/>
          <w:szCs w:val="24"/>
        </w:rPr>
        <w:t>) or Subchapter F (Enforcement), rather than E (Complaint Procedures and Hearings) or F; or</w:t>
      </w:r>
    </w:p>
    <w:p w:rsidR="00500A20" w:rsidRDefault="00500A20" w:rsidP="00500A20">
      <w:pPr>
        <w:spacing w:after="0" w:line="240" w:lineRule="auto"/>
        <w:ind w:left="1440"/>
        <w:jc w:val="both"/>
        <w:rPr>
          <w:rFonts w:eastAsia="Times New Roman" w:cs="Times New Roman"/>
          <w:szCs w:val="24"/>
        </w:rPr>
      </w:pPr>
    </w:p>
    <w:p w:rsidR="00500A20" w:rsidRPr="005C2A78" w:rsidRDefault="00500A20" w:rsidP="00500A20">
      <w:pPr>
        <w:spacing w:after="0" w:line="240" w:lineRule="auto"/>
        <w:ind w:left="1440"/>
        <w:jc w:val="both"/>
        <w:rPr>
          <w:rFonts w:eastAsia="Times New Roman" w:cs="Times New Roman"/>
          <w:szCs w:val="24"/>
        </w:rPr>
      </w:pPr>
      <w:r>
        <w:rPr>
          <w:rFonts w:eastAsia="Times New Roman" w:cs="Times New Roman"/>
          <w:szCs w:val="24"/>
        </w:rPr>
        <w:t>(2) a report required to be filed under Section 254.064(c) (relating to a requirement for a</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w:t>
      </w:r>
      <w:r w:rsidRPr="00711595">
        <w:rPr>
          <w:rFonts w:eastAsia="Times New Roman" w:cs="Times New Roman"/>
          <w:szCs w:val="24"/>
        </w:rPr>
        <w:t>)</w:t>
      </w:r>
      <w:r>
        <w:rPr>
          <w:rFonts w:eastAsia="Times New Roman" w:cs="Times New Roman"/>
          <w:szCs w:val="24"/>
        </w:rPr>
        <w:t>, 254.124(c) (relating to a requirement for a</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 or 254.154(c) (relating to a requirement for the</w:t>
      </w:r>
      <w:r w:rsidRPr="00711595">
        <w:rPr>
          <w:rFonts w:eastAsia="Times New Roman" w:cs="Times New Roman"/>
          <w:szCs w:val="24"/>
        </w:rPr>
        <w:t xml:space="preserve"> second report </w:t>
      </w:r>
      <w:r>
        <w:rPr>
          <w:rFonts w:eastAsia="Times New Roman" w:cs="Times New Roman"/>
          <w:szCs w:val="24"/>
        </w:rPr>
        <w:t>to</w:t>
      </w:r>
      <w:r w:rsidRPr="00711595">
        <w:rPr>
          <w:rFonts w:eastAsia="Times New Roman" w:cs="Times New Roman"/>
          <w:szCs w:val="24"/>
        </w:rPr>
        <w:t xml:space="preserve"> be received by the authority with whom the report is required to be filed not later than the</w:t>
      </w:r>
      <w:r>
        <w:rPr>
          <w:rFonts w:eastAsia="Times New Roman" w:cs="Times New Roman"/>
          <w:szCs w:val="24"/>
        </w:rPr>
        <w:t xml:space="preserve"> eighth day before election day</w:t>
      </w:r>
      <w:r w:rsidRPr="00711595">
        <w:rPr>
          <w:rFonts w:eastAsia="Times New Roman" w:cs="Times New Roman"/>
          <w:szCs w:val="24"/>
        </w:rPr>
        <w:t>)</w:t>
      </w:r>
      <w:r>
        <w:rPr>
          <w:rFonts w:eastAsia="Times New Roman" w:cs="Times New Roman"/>
          <w:szCs w:val="24"/>
        </w:rPr>
        <w:t>, rather than 254.038 (Special Report Near Election b</w:t>
      </w:r>
      <w:r w:rsidRPr="00711595">
        <w:rPr>
          <w:rFonts w:eastAsia="Times New Roman" w:cs="Times New Roman"/>
          <w:szCs w:val="24"/>
        </w:rPr>
        <w:t>y Certain Can</w:t>
      </w:r>
      <w:r>
        <w:rPr>
          <w:rFonts w:eastAsia="Times New Roman" w:cs="Times New Roman"/>
          <w:szCs w:val="24"/>
        </w:rPr>
        <w:t>didates a</w:t>
      </w:r>
      <w:r w:rsidRPr="00711595">
        <w:rPr>
          <w:rFonts w:eastAsia="Times New Roman" w:cs="Times New Roman"/>
          <w:szCs w:val="24"/>
        </w:rPr>
        <w:t>nd Political Committees</w:t>
      </w:r>
      <w:r>
        <w:rPr>
          <w:rFonts w:eastAsia="Times New Roman" w:cs="Times New Roman"/>
          <w:szCs w:val="24"/>
        </w:rPr>
        <w:t>), 254.039 (Special Report Near Election b</w:t>
      </w:r>
      <w:r w:rsidRPr="00711595">
        <w:rPr>
          <w:rFonts w:eastAsia="Times New Roman" w:cs="Times New Roman"/>
          <w:szCs w:val="24"/>
        </w:rPr>
        <w:t>y Certain General-Purpose Committees</w:t>
      </w:r>
      <w:r>
        <w:rPr>
          <w:rFonts w:eastAsia="Times New Roman" w:cs="Times New Roman"/>
          <w:szCs w:val="24"/>
        </w:rPr>
        <w:t xml:space="preserve">), 254.064(c), 254.124(c), or 254.154(c), Election Code. </w:t>
      </w:r>
    </w:p>
    <w:p w:rsidR="00500A20" w:rsidRPr="005C2A78"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571.097, Government Code,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Sec. 571.097. New heading: DEFENSES: RELIANCE ON ADVISORY OPINION; COMMISSION'S FAILURE TO ISSUE OPINION. (a) Creates this subsection from existing text and makes no further changes.</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1440"/>
        <w:jc w:val="both"/>
        <w:rPr>
          <w:rFonts w:eastAsia="Times New Roman" w:cs="Times New Roman"/>
          <w:szCs w:val="24"/>
        </w:rPr>
      </w:pPr>
      <w:r>
        <w:rPr>
          <w:rFonts w:eastAsia="Times New Roman" w:cs="Times New Roman"/>
          <w:szCs w:val="24"/>
        </w:rPr>
        <w:t>(b) Provides that it is a defense to prosecution or to imposition of a civil penalty for the violation of a law that:</w:t>
      </w:r>
    </w:p>
    <w:p w:rsidR="00500A20" w:rsidRDefault="00500A20" w:rsidP="00500A20">
      <w:pPr>
        <w:spacing w:after="0" w:line="240" w:lineRule="auto"/>
        <w:ind w:left="1440"/>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 xml:space="preserve">(1) the person requested a written advisory opinion from the Texas Ethics Commission (TEC) relating to the application of that law to a specified existing fact situation involving the person that is the same fact situation or substantially similar to the fact situation that forms the basis of the alleged violation; and </w:t>
      </w:r>
    </w:p>
    <w:p w:rsidR="00500A20" w:rsidRDefault="00500A20" w:rsidP="00500A20">
      <w:pPr>
        <w:spacing w:after="0" w:line="240" w:lineRule="auto"/>
        <w:ind w:left="2160"/>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(2) TEC did not issue the opinion within the time prescribed by Section 571.092 (Deadline F</w:t>
      </w:r>
      <w:r w:rsidRPr="00711595">
        <w:rPr>
          <w:rFonts w:eastAsia="Times New Roman" w:cs="Times New Roman"/>
          <w:szCs w:val="24"/>
        </w:rPr>
        <w:t>or Opinion; Extension</w:t>
      </w:r>
      <w:r>
        <w:rPr>
          <w:rFonts w:eastAsia="Times New Roman" w:cs="Times New Roman"/>
          <w:szCs w:val="24"/>
        </w:rPr>
        <w:t>).</w:t>
      </w:r>
    </w:p>
    <w:p w:rsidR="00500A20" w:rsidRDefault="00500A20" w:rsidP="00500A20">
      <w:pPr>
        <w:spacing w:after="0" w:line="240" w:lineRule="auto"/>
        <w:ind w:left="2160"/>
        <w:jc w:val="both"/>
        <w:rPr>
          <w:rFonts w:eastAsia="Times New Roman" w:cs="Times New Roman"/>
          <w:szCs w:val="24"/>
        </w:rPr>
      </w:pPr>
    </w:p>
    <w:p w:rsidR="00500A20" w:rsidRPr="005C2A78" w:rsidRDefault="00500A20" w:rsidP="00500A20">
      <w:pPr>
        <w:spacing w:after="0" w:line="240" w:lineRule="auto"/>
        <w:ind w:left="1440"/>
        <w:jc w:val="both"/>
        <w:rPr>
          <w:rFonts w:eastAsia="Times New Roman" w:cs="Times New Roman"/>
          <w:szCs w:val="24"/>
        </w:rPr>
      </w:pPr>
      <w:r>
        <w:rPr>
          <w:rFonts w:eastAsia="Times New Roman" w:cs="Times New Roman"/>
          <w:szCs w:val="24"/>
        </w:rPr>
        <w:t xml:space="preserve">(c) Provides that the defense to prosecution or imposition of a civil penalty under Subsection (b) applies only to acts giving rise to a potential violation of law occurring in the period beginning on the date the time prescribed by Section 571.092 expires and ending on the date TEC issues the requested opinion. </w:t>
      </w:r>
    </w:p>
    <w:p w:rsidR="00500A20" w:rsidRPr="005C2A78"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571.1212, Government Code,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Sec. 571.1212. CATEGORIZATION OF VIOLATIONS. Requires an allegation of a violation listed as a Category One violation to be treated as a Category Two violation if the executive director of TEC (executive director) at any time determines that:</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500A20" w:rsidRDefault="00500A20" w:rsidP="00500A20">
      <w:pPr>
        <w:spacing w:after="0" w:line="240" w:lineRule="auto"/>
        <w:ind w:left="2160"/>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(2)  the facts and law related to a particular allegation or a defense to the allegation present a level of complexity that prevents resolution through the preliminary review procedures for Category One violations prescribed by Section 571.1242, rather than 571.1242(a).</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Subchapter E, Chapter 571, Government Code, by adding Section 571.1223,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Sec. 571.1223. DISMISSAL OF COMPLAINT FOLLOWING CORRECTED OR AMENDED STATEMENT, REGISTRATION, OR REPORT. Requires TEC, at any stage of a proceeding under this subchapter (Complaint Procedures a</w:t>
      </w:r>
      <w:r w:rsidRPr="00500A20">
        <w:rPr>
          <w:rFonts w:eastAsia="Times New Roman" w:cs="Times New Roman"/>
          <w:szCs w:val="24"/>
        </w:rPr>
        <w:t>nd Hearings</w:t>
      </w:r>
      <w:r>
        <w:rPr>
          <w:rFonts w:eastAsia="Times New Roman" w:cs="Times New Roman"/>
          <w:szCs w:val="24"/>
        </w:rPr>
        <w:t>), to dismiss a complaint to the extent the complaint alleges a statement, registration, or report violates a law or rule if:</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(1) the respondent has filed a corrected or amended statement, registration, or report before TEC accepts jurisdiction over the complaint; and</w:t>
      </w:r>
    </w:p>
    <w:p w:rsidR="00500A20" w:rsidRDefault="00500A20" w:rsidP="00500A20">
      <w:pPr>
        <w:spacing w:after="0" w:line="240" w:lineRule="auto"/>
        <w:ind w:left="2160"/>
        <w:jc w:val="both"/>
        <w:rPr>
          <w:rFonts w:eastAsia="Times New Roman" w:cs="Times New Roman"/>
          <w:szCs w:val="24"/>
        </w:rPr>
      </w:pPr>
    </w:p>
    <w:p w:rsidR="00500A20" w:rsidRDefault="00500A20" w:rsidP="00500A20">
      <w:pPr>
        <w:spacing w:after="0" w:line="240" w:lineRule="auto"/>
        <w:ind w:left="2160"/>
        <w:jc w:val="both"/>
        <w:rPr>
          <w:rFonts w:eastAsia="Times New Roman" w:cs="Times New Roman"/>
          <w:szCs w:val="24"/>
        </w:rPr>
      </w:pPr>
      <w:r>
        <w:rPr>
          <w:rFonts w:eastAsia="Times New Roman" w:cs="Times New Roman"/>
          <w:szCs w:val="24"/>
        </w:rPr>
        <w:t>(2) the corrected or amended statement, registration, or report remedies the alleged violation.</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the heading to Section 571.1241, Government Code, to read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Sec. 571.1241. REVIEW OF EXECUTIVE DIRECTOR'S DETERMINATION OF JURISDICTION.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571.1241(a), Government Code,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(a) Authorizes the complainant or respondent, rather than the complainant, if the </w:t>
      </w:r>
      <w:r w:rsidRPr="00711595">
        <w:rPr>
          <w:rFonts w:eastAsia="Times New Roman" w:cs="Times New Roman"/>
          <w:szCs w:val="24"/>
        </w:rPr>
        <w:t xml:space="preserve">executive director </w:t>
      </w:r>
      <w:r>
        <w:rPr>
          <w:rFonts w:eastAsia="Times New Roman" w:cs="Times New Roman"/>
          <w:szCs w:val="24"/>
        </w:rPr>
        <w:t xml:space="preserve">determines that TEC does not have jurisdiction over the violation alleged in the complaint, to request that TEC review the determination. Requires the request for review under this section to be filed not later than the 30th day after the date the complainant or respondent, rather than the complainant, receives the executive director's determination.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the heading to Section 571.1242, Government Code, to read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Sec. 571.1242. PRELIMINARY REVIEW.</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Sections 571.1242(a), (b), and (c), Government Code,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(a) Deletes existing text relating to a requirement that TEC, if a matter that is an alleged category one violation not resolved by agreement between TEC and the respondent before the 30th business day after the date the respondent receives the notice under Section 571.123(b) (relating to requiring TEC, a</w:t>
      </w:r>
      <w:r w:rsidRPr="00C837F9">
        <w:rPr>
          <w:rFonts w:eastAsia="Times New Roman" w:cs="Times New Roman"/>
          <w:szCs w:val="24"/>
        </w:rPr>
        <w:t xml:space="preserve">fter a complaint is filed, </w:t>
      </w:r>
      <w:r>
        <w:rPr>
          <w:rFonts w:eastAsia="Times New Roman" w:cs="Times New Roman"/>
          <w:szCs w:val="24"/>
        </w:rPr>
        <w:t xml:space="preserve">to </w:t>
      </w:r>
      <w:r w:rsidRPr="00C837F9">
        <w:rPr>
          <w:rFonts w:eastAsia="Times New Roman" w:cs="Times New Roman"/>
          <w:szCs w:val="24"/>
        </w:rPr>
        <w:t>immediately attempt to contact and notify the respondent of the complaint by telephone or electronic mail</w:t>
      </w:r>
      <w:r>
        <w:rPr>
          <w:rFonts w:eastAsia="Times New Roman" w:cs="Times New Roman"/>
          <w:szCs w:val="24"/>
        </w:rPr>
        <w:t xml:space="preserve">), set the matter for a preliminary review hearing to be held at the next TEC meeting for which notice has not yet been posted. Makes nonsubstantive changes. </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(b) Deletes existing text relating to a requirement that TEC, if a matter that is an alleged category two violation is not resolved by agreement between TEC and the respondent before the 75th business day after the date the respondent receives the notice under Section 571.123(b), set the matter for a preliminary review hearing to be held at the next TEC meeting for which notice has not yet been posted. Makes nonsubstantive changes. </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(c) Provides that a respondent's failure to timely respond as required by Subsection (a) or (b), rather than (a)(1) or (b)(1), is a Category One violation.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Redesignates Section 571.1243, Government Code, as Section 571.1242(f) and amends it, as follows:</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(f) Deletes existing designation as Section 571.1243 and deletes the heading of that section. Makes no further changes.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571.1242, Government Code, by adding Subsections (g), (h), (i), and (j), as follows: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(g) Requires TEC, not later than the 120th day after the later of the date TEC receives a respondent's response to notice as required by Subsection (a) or (b) or the respondent's response to written questions as required by Subsection (f), to propose an agreement to the respondent to settle the complaint without holding a preliminary hearing or to dismiss the complaint. </w:t>
      </w:r>
    </w:p>
    <w:p w:rsidR="00500A20" w:rsidRDefault="00500A20" w:rsidP="00500A20">
      <w:pPr>
        <w:spacing w:after="0" w:line="240" w:lineRule="auto"/>
        <w:ind w:left="1440"/>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(h) Provides that the deadline under Subsection (g) is tolled for the duration of any litigation brought by the respondent or TEC regarding the complaint at issue. </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(i) Requires the matter, if a respondent rejects a proposed settlement under Subsection (g), to be set for a preliminary review hearing at the next TEC meeting for which notice has not yet been posted. </w:t>
      </w:r>
    </w:p>
    <w:p w:rsidR="00500A20" w:rsidRDefault="00500A20" w:rsidP="00500A20">
      <w:pPr>
        <w:spacing w:after="0" w:line="240" w:lineRule="auto"/>
        <w:ind w:left="720"/>
        <w:jc w:val="both"/>
        <w:rPr>
          <w:rFonts w:eastAsia="Times New Roman" w:cs="Times New Roman"/>
          <w:szCs w:val="24"/>
        </w:rPr>
      </w:pPr>
    </w:p>
    <w:p w:rsidR="00500A20" w:rsidRDefault="00500A20" w:rsidP="00500A20">
      <w:pPr>
        <w:spacing w:after="0" w:line="240" w:lineRule="auto"/>
        <w:ind w:left="720"/>
        <w:jc w:val="both"/>
        <w:rPr>
          <w:rFonts w:eastAsia="Times New Roman" w:cs="Times New Roman"/>
          <w:szCs w:val="24"/>
        </w:rPr>
      </w:pPr>
      <w:r>
        <w:rPr>
          <w:rFonts w:eastAsia="Times New Roman" w:cs="Times New Roman"/>
          <w:szCs w:val="24"/>
        </w:rPr>
        <w:t xml:space="preserve">(j) Requires TEC, if a complaint is dismissed under Subsection (g), to deny jurisdiction over any subsequent complaint against the respondent that alleges the respondent violated the same statutes or rules based on the same facts alleged in the dismissed complaint.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571.125, Government Code, by adding Subsection (f) to authorize counsel for the respondent to subpoena a witness to a preliminary review hearing in the same manner as an attorney may issue a subpoena in a proceeding in a county or district court.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571.130, Government Code, by adding Subsection (f) to authorize counsel for the respondent to subpoena a witness to a formal hearing in the same manner as an attorney may issue a subpoena in a proceeding in a county or district court. </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Repealer: Section 571.1242(e) (relating to requiring TEC</w:t>
      </w:r>
      <w:r w:rsidRPr="00711595">
        <w:rPr>
          <w:rFonts w:eastAsia="Times New Roman" w:cs="Times New Roman"/>
          <w:szCs w:val="24"/>
        </w:rPr>
        <w:t xml:space="preserve"> </w:t>
      </w:r>
      <w:r>
        <w:rPr>
          <w:rFonts w:eastAsia="Times New Roman" w:cs="Times New Roman"/>
          <w:szCs w:val="24"/>
        </w:rPr>
        <w:t xml:space="preserve">to </w:t>
      </w:r>
      <w:r w:rsidRPr="00711595">
        <w:rPr>
          <w:rFonts w:eastAsia="Times New Roman" w:cs="Times New Roman"/>
          <w:szCs w:val="24"/>
        </w:rPr>
        <w:t xml:space="preserve">send to the complainant and the respondent written notice of </w:t>
      </w:r>
      <w:r>
        <w:rPr>
          <w:rFonts w:eastAsia="Times New Roman" w:cs="Times New Roman"/>
          <w:szCs w:val="24"/>
        </w:rPr>
        <w:t>the date, time, and place of a preliminary review hearing set by TEC), Government Code.</w:t>
      </w:r>
    </w:p>
    <w:p w:rsidR="00500A20" w:rsidRDefault="00500A20" w:rsidP="00500A20">
      <w:pPr>
        <w:spacing w:after="0" w:line="240" w:lineRule="auto"/>
        <w:jc w:val="both"/>
        <w:rPr>
          <w:rFonts w:eastAsia="Times New Roman" w:cs="Times New Roman"/>
          <w:szCs w:val="24"/>
        </w:rPr>
      </w:pPr>
    </w:p>
    <w:p w:rsidR="00500A20"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Makes application of Chapter 571, Government Code, as amended by this Act, prospective. </w:t>
      </w:r>
    </w:p>
    <w:p w:rsidR="00500A20" w:rsidRDefault="00500A20" w:rsidP="00500A20">
      <w:pPr>
        <w:spacing w:after="0" w:line="240" w:lineRule="auto"/>
        <w:jc w:val="both"/>
        <w:rPr>
          <w:rFonts w:eastAsia="Times New Roman" w:cs="Times New Roman"/>
          <w:szCs w:val="24"/>
        </w:rPr>
      </w:pPr>
    </w:p>
    <w:p w:rsidR="00500A20" w:rsidRPr="00C8671F" w:rsidRDefault="00500A20" w:rsidP="00500A2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Effective date: September 1, 2019.</w:t>
      </w:r>
    </w:p>
    <w:p w:rsidR="00500A20" w:rsidRPr="00C8671F" w:rsidRDefault="00500A20" w:rsidP="00957A8F">
      <w:pPr>
        <w:spacing w:after="0" w:line="240" w:lineRule="auto"/>
        <w:jc w:val="both"/>
        <w:rPr>
          <w:rFonts w:eastAsia="Times New Roman" w:cs="Times New Roman"/>
          <w:szCs w:val="24"/>
        </w:rPr>
      </w:pPr>
    </w:p>
    <w:sectPr w:rsidR="00500A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98" w:rsidRDefault="00CB0298" w:rsidP="000F1DF9">
      <w:pPr>
        <w:spacing w:after="0" w:line="240" w:lineRule="auto"/>
      </w:pPr>
      <w:r>
        <w:separator/>
      </w:r>
    </w:p>
  </w:endnote>
  <w:endnote w:type="continuationSeparator" w:id="0">
    <w:p w:rsidR="00CB0298" w:rsidRDefault="00CB02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2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0A2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0A20">
                <w:rPr>
                  <w:sz w:val="20"/>
                  <w:szCs w:val="20"/>
                </w:rPr>
                <w:t>S.B. 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0A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2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0A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0A2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98" w:rsidRDefault="00CB0298" w:rsidP="000F1DF9">
      <w:pPr>
        <w:spacing w:after="0" w:line="240" w:lineRule="auto"/>
      </w:pPr>
      <w:r>
        <w:separator/>
      </w:r>
    </w:p>
  </w:footnote>
  <w:footnote w:type="continuationSeparator" w:id="0">
    <w:p w:rsidR="00CB0298" w:rsidRDefault="00CB02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0A2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029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1866D"/>
  <w15:docId w15:val="{D66F9619-594F-405F-8277-C087A7B6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00A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2E10" w:rsidP="00DC2E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53A6A9281644039C91E45A3E9E19FD"/>
        <w:category>
          <w:name w:val="General"/>
          <w:gallery w:val="placeholder"/>
        </w:category>
        <w:types>
          <w:type w:val="bbPlcHdr"/>
        </w:types>
        <w:behaviors>
          <w:behavior w:val="content"/>
        </w:behaviors>
        <w:guid w:val="{5C8A0C82-DB15-462C-8C6F-E81C75746A84}"/>
      </w:docPartPr>
      <w:docPartBody>
        <w:p w:rsidR="00000000" w:rsidRDefault="00CE527E"/>
      </w:docPartBody>
    </w:docPart>
    <w:docPart>
      <w:docPartPr>
        <w:name w:val="2CE41AA5F844486F8CF85803C198928C"/>
        <w:category>
          <w:name w:val="General"/>
          <w:gallery w:val="placeholder"/>
        </w:category>
        <w:types>
          <w:type w:val="bbPlcHdr"/>
        </w:types>
        <w:behaviors>
          <w:behavior w:val="content"/>
        </w:behaviors>
        <w:guid w:val="{7E62A5D5-1C57-4D07-AE19-2B00804E3DF3}"/>
      </w:docPartPr>
      <w:docPartBody>
        <w:p w:rsidR="00000000" w:rsidRDefault="00CE527E"/>
      </w:docPartBody>
    </w:docPart>
    <w:docPart>
      <w:docPartPr>
        <w:name w:val="474BCAB617ED435EB532A913E80B79BC"/>
        <w:category>
          <w:name w:val="General"/>
          <w:gallery w:val="placeholder"/>
        </w:category>
        <w:types>
          <w:type w:val="bbPlcHdr"/>
        </w:types>
        <w:behaviors>
          <w:behavior w:val="content"/>
        </w:behaviors>
        <w:guid w:val="{DAE80AF6-15EC-4382-AFA7-B8CE387A877B}"/>
      </w:docPartPr>
      <w:docPartBody>
        <w:p w:rsidR="00000000" w:rsidRDefault="00CE527E"/>
      </w:docPartBody>
    </w:docPart>
    <w:docPart>
      <w:docPartPr>
        <w:name w:val="AEBFBE1D7B794978819BBAB80FC2293A"/>
        <w:category>
          <w:name w:val="General"/>
          <w:gallery w:val="placeholder"/>
        </w:category>
        <w:types>
          <w:type w:val="bbPlcHdr"/>
        </w:types>
        <w:behaviors>
          <w:behavior w:val="content"/>
        </w:behaviors>
        <w:guid w:val="{6F06D73A-500A-44B2-A1CB-062F5A87411F}"/>
      </w:docPartPr>
      <w:docPartBody>
        <w:p w:rsidR="00000000" w:rsidRDefault="00CE527E"/>
      </w:docPartBody>
    </w:docPart>
    <w:docPart>
      <w:docPartPr>
        <w:name w:val="A63B4D599334471CA08D6ED827589B92"/>
        <w:category>
          <w:name w:val="General"/>
          <w:gallery w:val="placeholder"/>
        </w:category>
        <w:types>
          <w:type w:val="bbPlcHdr"/>
        </w:types>
        <w:behaviors>
          <w:behavior w:val="content"/>
        </w:behaviors>
        <w:guid w:val="{6CCDDB74-5357-4182-91D3-731663860433}"/>
      </w:docPartPr>
      <w:docPartBody>
        <w:p w:rsidR="00000000" w:rsidRDefault="00CE527E"/>
      </w:docPartBody>
    </w:docPart>
    <w:docPart>
      <w:docPartPr>
        <w:name w:val="43770C8714EC4C2F98145AC755D63749"/>
        <w:category>
          <w:name w:val="General"/>
          <w:gallery w:val="placeholder"/>
        </w:category>
        <w:types>
          <w:type w:val="bbPlcHdr"/>
        </w:types>
        <w:behaviors>
          <w:behavior w:val="content"/>
        </w:behaviors>
        <w:guid w:val="{8CC32B38-FA36-4965-B8E5-E3EF8C20B4FE}"/>
      </w:docPartPr>
      <w:docPartBody>
        <w:p w:rsidR="00000000" w:rsidRDefault="00CE527E"/>
      </w:docPartBody>
    </w:docPart>
    <w:docPart>
      <w:docPartPr>
        <w:name w:val="59E67814141B4DEA9158EC70B521250B"/>
        <w:category>
          <w:name w:val="General"/>
          <w:gallery w:val="placeholder"/>
        </w:category>
        <w:types>
          <w:type w:val="bbPlcHdr"/>
        </w:types>
        <w:behaviors>
          <w:behavior w:val="content"/>
        </w:behaviors>
        <w:guid w:val="{45C820EB-394E-4FB7-B7EA-5615F137BFF9}"/>
      </w:docPartPr>
      <w:docPartBody>
        <w:p w:rsidR="00000000" w:rsidRDefault="00CE527E"/>
      </w:docPartBody>
    </w:docPart>
    <w:docPart>
      <w:docPartPr>
        <w:name w:val="B103BC4AAFFA42FB9B5628FE39BFEA6F"/>
        <w:category>
          <w:name w:val="General"/>
          <w:gallery w:val="placeholder"/>
        </w:category>
        <w:types>
          <w:type w:val="bbPlcHdr"/>
        </w:types>
        <w:behaviors>
          <w:behavior w:val="content"/>
        </w:behaviors>
        <w:guid w:val="{020015D1-4CD2-49B1-BB96-583C01DD0529}"/>
      </w:docPartPr>
      <w:docPartBody>
        <w:p w:rsidR="00000000" w:rsidRDefault="00CE527E"/>
      </w:docPartBody>
    </w:docPart>
    <w:docPart>
      <w:docPartPr>
        <w:name w:val="469EE99C9CB84691B463B359011EC284"/>
        <w:category>
          <w:name w:val="General"/>
          <w:gallery w:val="placeholder"/>
        </w:category>
        <w:types>
          <w:type w:val="bbPlcHdr"/>
        </w:types>
        <w:behaviors>
          <w:behavior w:val="content"/>
        </w:behaviors>
        <w:guid w:val="{F4C1AEC4-2DEC-4146-B581-85EE48393F44}"/>
      </w:docPartPr>
      <w:docPartBody>
        <w:p w:rsidR="00000000" w:rsidRDefault="00DC2E10" w:rsidP="00DC2E10">
          <w:pPr>
            <w:pStyle w:val="469EE99C9CB84691B463B359011EC284"/>
          </w:pPr>
          <w:r w:rsidRPr="00A30DD1">
            <w:rPr>
              <w:rStyle w:val="PlaceholderText"/>
            </w:rPr>
            <w:t>Click here to enter a date.</w:t>
          </w:r>
        </w:p>
      </w:docPartBody>
    </w:docPart>
    <w:docPart>
      <w:docPartPr>
        <w:name w:val="610765E3DAB74F75A106ECE25840F76D"/>
        <w:category>
          <w:name w:val="General"/>
          <w:gallery w:val="placeholder"/>
        </w:category>
        <w:types>
          <w:type w:val="bbPlcHdr"/>
        </w:types>
        <w:behaviors>
          <w:behavior w:val="content"/>
        </w:behaviors>
        <w:guid w:val="{2B44917E-B752-49F6-AAC0-DDB503341AB9}"/>
      </w:docPartPr>
      <w:docPartBody>
        <w:p w:rsidR="00000000" w:rsidRDefault="00CE527E"/>
      </w:docPartBody>
    </w:docPart>
    <w:docPart>
      <w:docPartPr>
        <w:name w:val="053A183B87D34E79ADB2BB6173245215"/>
        <w:category>
          <w:name w:val="General"/>
          <w:gallery w:val="placeholder"/>
        </w:category>
        <w:types>
          <w:type w:val="bbPlcHdr"/>
        </w:types>
        <w:behaviors>
          <w:behavior w:val="content"/>
        </w:behaviors>
        <w:guid w:val="{1D35B954-D673-47AA-AC38-2747D9ECE0D4}"/>
      </w:docPartPr>
      <w:docPartBody>
        <w:p w:rsidR="00000000" w:rsidRDefault="00CE527E"/>
      </w:docPartBody>
    </w:docPart>
    <w:docPart>
      <w:docPartPr>
        <w:name w:val="49B1E697063D4A35BD8ECC66990DE50A"/>
        <w:category>
          <w:name w:val="General"/>
          <w:gallery w:val="placeholder"/>
        </w:category>
        <w:types>
          <w:type w:val="bbPlcHdr"/>
        </w:types>
        <w:behaviors>
          <w:behavior w:val="content"/>
        </w:behaviors>
        <w:guid w:val="{3CDBF502-54B7-4CE8-AB14-A9EF688B721B}"/>
      </w:docPartPr>
      <w:docPartBody>
        <w:p w:rsidR="00000000" w:rsidRDefault="00DC2E10" w:rsidP="00DC2E10">
          <w:pPr>
            <w:pStyle w:val="49B1E697063D4A35BD8ECC66990DE50A"/>
          </w:pPr>
          <w:r>
            <w:rPr>
              <w:rFonts w:eastAsia="Times New Roman" w:cs="Times New Roman"/>
              <w:bCs/>
              <w:szCs w:val="24"/>
            </w:rPr>
            <w:t xml:space="preserve"> </w:t>
          </w:r>
        </w:p>
      </w:docPartBody>
    </w:docPart>
    <w:docPart>
      <w:docPartPr>
        <w:name w:val="55D1C41325904908AA5D42B8AADD1469"/>
        <w:category>
          <w:name w:val="General"/>
          <w:gallery w:val="placeholder"/>
        </w:category>
        <w:types>
          <w:type w:val="bbPlcHdr"/>
        </w:types>
        <w:behaviors>
          <w:behavior w:val="content"/>
        </w:behaviors>
        <w:guid w:val="{2B45638F-F555-42B6-988B-0578E94DDBCF}"/>
      </w:docPartPr>
      <w:docPartBody>
        <w:p w:rsidR="00000000" w:rsidRDefault="00CE527E"/>
      </w:docPartBody>
    </w:docPart>
    <w:docPart>
      <w:docPartPr>
        <w:name w:val="188790F310934C989D594E8C720C6684"/>
        <w:category>
          <w:name w:val="General"/>
          <w:gallery w:val="placeholder"/>
        </w:category>
        <w:types>
          <w:type w:val="bbPlcHdr"/>
        </w:types>
        <w:behaviors>
          <w:behavior w:val="content"/>
        </w:behaviors>
        <w:guid w:val="{A298CFF3-BB9A-4D64-B42F-945A29E4F044}"/>
      </w:docPartPr>
      <w:docPartBody>
        <w:p w:rsidR="00000000" w:rsidRDefault="00CE5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527E"/>
    <w:rsid w:val="00D63E87"/>
    <w:rsid w:val="00D705C9"/>
    <w:rsid w:val="00DC2E1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2E10"/>
    <w:rPr>
      <w:rFonts w:ascii="Times New Roman" w:hAnsi="Times New Roman"/>
      <w:sz w:val="24"/>
    </w:rPr>
  </w:style>
  <w:style w:type="paragraph" w:customStyle="1" w:styleId="487D89B4F8B34DB4967D41FE18F7F88D9">
    <w:name w:val="487D89B4F8B34DB4967D41FE18F7F88D9"/>
    <w:rsid w:val="00DC2E10"/>
    <w:rPr>
      <w:rFonts w:ascii="Times New Roman" w:hAnsi="Times New Roman"/>
      <w:sz w:val="24"/>
    </w:rPr>
  </w:style>
  <w:style w:type="paragraph" w:customStyle="1" w:styleId="AE2570ED5D764CD7AF9686706F550F4622">
    <w:name w:val="AE2570ED5D764CD7AF9686706F550F4622"/>
    <w:rsid w:val="00DC2E10"/>
    <w:pPr>
      <w:tabs>
        <w:tab w:val="center" w:pos="4680"/>
        <w:tab w:val="right" w:pos="9360"/>
      </w:tabs>
      <w:spacing w:after="0" w:line="240" w:lineRule="auto"/>
    </w:pPr>
    <w:rPr>
      <w:rFonts w:ascii="Times New Roman" w:hAnsi="Times New Roman"/>
      <w:sz w:val="24"/>
    </w:rPr>
  </w:style>
  <w:style w:type="paragraph" w:customStyle="1" w:styleId="469EE99C9CB84691B463B359011EC284">
    <w:name w:val="469EE99C9CB84691B463B359011EC284"/>
    <w:rsid w:val="00DC2E10"/>
    <w:pPr>
      <w:spacing w:after="160" w:line="259" w:lineRule="auto"/>
    </w:pPr>
  </w:style>
  <w:style w:type="paragraph" w:customStyle="1" w:styleId="49B1E697063D4A35BD8ECC66990DE50A">
    <w:name w:val="49B1E697063D4A35BD8ECC66990DE50A"/>
    <w:rsid w:val="00DC2E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27B261-B676-4E86-94CC-E0EFA244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1764</Words>
  <Characters>10058</Characters>
  <Application>Microsoft Office Word</Application>
  <DocSecurity>0</DocSecurity>
  <Lines>83</Lines>
  <Paragraphs>23</Paragraphs>
  <ScaleCrop>false</ScaleCrop>
  <Company>Texas Legislative Council</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2019-06-24T17:22:00Z</dcterms:modified>
</cp:coreProperties>
</file>

<file path=docProps/custom.xml><?xml version="1.0" encoding="utf-8"?>
<op:Properties xmlns:vt="http://schemas.openxmlformats.org/officeDocument/2006/docPropsVTypes" xmlns:op="http://schemas.openxmlformats.org/officeDocument/2006/custom-properties"/>
</file>