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253F" w:rsidTr="00345119">
        <w:tc>
          <w:tcPr>
            <w:tcW w:w="9576" w:type="dxa"/>
            <w:noWrap/>
          </w:tcPr>
          <w:p w:rsidR="008423E4" w:rsidRPr="0022177D" w:rsidRDefault="004A6B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6B9B" w:rsidP="008423E4">
      <w:pPr>
        <w:jc w:val="center"/>
      </w:pPr>
    </w:p>
    <w:p w:rsidR="008423E4" w:rsidRPr="00B31F0E" w:rsidRDefault="004A6B9B" w:rsidP="008423E4"/>
    <w:p w:rsidR="008423E4" w:rsidRPr="00742794" w:rsidRDefault="004A6B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253F" w:rsidTr="00345119">
        <w:tc>
          <w:tcPr>
            <w:tcW w:w="9576" w:type="dxa"/>
          </w:tcPr>
          <w:p w:rsidR="008423E4" w:rsidRPr="00861995" w:rsidRDefault="004A6B9B" w:rsidP="00345119">
            <w:pPr>
              <w:jc w:val="right"/>
            </w:pPr>
            <w:r>
              <w:t>S.B. 548</w:t>
            </w:r>
          </w:p>
        </w:tc>
      </w:tr>
      <w:tr w:rsidR="0000253F" w:rsidTr="00345119">
        <w:tc>
          <w:tcPr>
            <w:tcW w:w="9576" w:type="dxa"/>
          </w:tcPr>
          <w:p w:rsidR="008423E4" w:rsidRPr="00861995" w:rsidRDefault="004A6B9B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00253F" w:rsidTr="00345119">
        <w:tc>
          <w:tcPr>
            <w:tcW w:w="9576" w:type="dxa"/>
          </w:tcPr>
          <w:p w:rsidR="008423E4" w:rsidRPr="00861995" w:rsidRDefault="004A6B9B" w:rsidP="00345119">
            <w:pPr>
              <w:jc w:val="right"/>
            </w:pPr>
            <w:r>
              <w:t>State Affairs</w:t>
            </w:r>
          </w:p>
        </w:tc>
      </w:tr>
      <w:tr w:rsidR="0000253F" w:rsidTr="00345119">
        <w:tc>
          <w:tcPr>
            <w:tcW w:w="9576" w:type="dxa"/>
          </w:tcPr>
          <w:p w:rsidR="008423E4" w:rsidRDefault="004A6B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A6B9B" w:rsidP="008423E4">
      <w:pPr>
        <w:tabs>
          <w:tab w:val="right" w:pos="9360"/>
        </w:tabs>
      </w:pPr>
    </w:p>
    <w:p w:rsidR="008423E4" w:rsidRDefault="004A6B9B" w:rsidP="008423E4"/>
    <w:p w:rsidR="008423E4" w:rsidRDefault="004A6B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253F" w:rsidTr="00345119">
        <w:tc>
          <w:tcPr>
            <w:tcW w:w="9576" w:type="dxa"/>
          </w:tcPr>
          <w:p w:rsidR="008423E4" w:rsidRPr="00A8133F" w:rsidRDefault="004A6B9B" w:rsidP="00617F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6B9B" w:rsidP="00617FA2"/>
          <w:p w:rsidR="00C506AB" w:rsidRDefault="004A6B9B" w:rsidP="00617FA2">
            <w:pPr>
              <w:pStyle w:val="Header"/>
              <w:jc w:val="both"/>
            </w:pPr>
            <w:r>
              <w:t xml:space="preserve">There have been calls to revise and clarify statutes relating to </w:t>
            </w:r>
            <w:r>
              <w:t xml:space="preserve">certain </w:t>
            </w:r>
            <w:r>
              <w:t>Texas Ethics Commission</w:t>
            </w:r>
            <w:r>
              <w:t xml:space="preserve"> (TEC)</w:t>
            </w:r>
            <w:r>
              <w:t xml:space="preserve"> procedures to provide more specific </w:t>
            </w:r>
            <w:r>
              <w:t>legislative guidance and to</w:t>
            </w:r>
            <w:r>
              <w:t xml:space="preserve"> </w:t>
            </w:r>
            <w:r>
              <w:t>ensure a due</w:t>
            </w:r>
            <w:r>
              <w:t xml:space="preserve"> </w:t>
            </w:r>
            <w:r>
              <w:t>process standard for those against whom a complaint is filed.</w:t>
            </w:r>
            <w:r>
              <w:t xml:space="preserve"> S.B.</w:t>
            </w:r>
            <w:r>
              <w:t xml:space="preserve"> 548</w:t>
            </w:r>
            <w:r>
              <w:t xml:space="preserve"> seeks to do so by revising certain deadlines for the issuance of TEC advisory opinions, providing for the correction of certain documentary erro</w:t>
            </w:r>
            <w:r>
              <w:t>rs without incurring late filing penalties, and revising certain complaint procedures.</w:t>
            </w:r>
          </w:p>
          <w:p w:rsidR="008423E4" w:rsidRPr="00E26B13" w:rsidRDefault="004A6B9B" w:rsidP="00617FA2">
            <w:pPr>
              <w:pStyle w:val="Header"/>
              <w:jc w:val="both"/>
              <w:rPr>
                <w:b/>
              </w:rPr>
            </w:pPr>
          </w:p>
        </w:tc>
      </w:tr>
      <w:tr w:rsidR="0000253F" w:rsidTr="00345119">
        <w:tc>
          <w:tcPr>
            <w:tcW w:w="9576" w:type="dxa"/>
          </w:tcPr>
          <w:p w:rsidR="0017725B" w:rsidRDefault="004A6B9B" w:rsidP="00617F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6B9B" w:rsidP="00617FA2">
            <w:pPr>
              <w:rPr>
                <w:b/>
                <w:u w:val="single"/>
              </w:rPr>
            </w:pPr>
          </w:p>
          <w:p w:rsidR="009905C8" w:rsidRPr="009905C8" w:rsidRDefault="004A6B9B" w:rsidP="00617FA2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4A6B9B" w:rsidP="00617FA2">
            <w:pPr>
              <w:rPr>
                <w:b/>
                <w:u w:val="single"/>
              </w:rPr>
            </w:pPr>
          </w:p>
        </w:tc>
      </w:tr>
      <w:tr w:rsidR="0000253F" w:rsidTr="00345119">
        <w:tc>
          <w:tcPr>
            <w:tcW w:w="9576" w:type="dxa"/>
          </w:tcPr>
          <w:p w:rsidR="008423E4" w:rsidRPr="00A8133F" w:rsidRDefault="004A6B9B" w:rsidP="00617F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6B9B" w:rsidP="00617FA2"/>
          <w:p w:rsidR="009905C8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</w:t>
            </w:r>
            <w:r>
              <w:t>rity to a state officer, department, agency, or institution.</w:t>
            </w:r>
          </w:p>
          <w:p w:rsidR="008423E4" w:rsidRPr="00E21FDC" w:rsidRDefault="004A6B9B" w:rsidP="00617FA2">
            <w:pPr>
              <w:rPr>
                <w:b/>
              </w:rPr>
            </w:pPr>
          </w:p>
        </w:tc>
      </w:tr>
      <w:tr w:rsidR="0000253F" w:rsidTr="00345119">
        <w:tc>
          <w:tcPr>
            <w:tcW w:w="9576" w:type="dxa"/>
          </w:tcPr>
          <w:p w:rsidR="008423E4" w:rsidRPr="00A8133F" w:rsidRDefault="004A6B9B" w:rsidP="00617F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6B9B" w:rsidP="00617FA2"/>
          <w:p w:rsidR="00DB7FE5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58BA">
              <w:t>S.B. 548</w:t>
            </w:r>
            <w:r>
              <w:t xml:space="preserve"> </w:t>
            </w:r>
            <w:r>
              <w:t xml:space="preserve">amends the Government Code to </w:t>
            </w:r>
            <w:r w:rsidRPr="00472F62">
              <w:t>exempt</w:t>
            </w:r>
            <w:r w:rsidRPr="00472F62">
              <w:t xml:space="preserve"> </w:t>
            </w:r>
            <w:r w:rsidRPr="00472F62">
              <w:t>a statement, registration,</w:t>
            </w:r>
            <w:r>
              <w:t xml:space="preserve"> or report </w:t>
            </w:r>
            <w:r>
              <w:t>relating to certain penalties imposed as a result of</w:t>
            </w:r>
            <w:r>
              <w:t xml:space="preserve"> Texas Ethics Commission (TEC) </w:t>
            </w:r>
            <w:r>
              <w:t xml:space="preserve">complaints procedures and </w:t>
            </w:r>
            <w:r>
              <w:t xml:space="preserve">certain special reports required to be filed near </w:t>
            </w:r>
            <w:r>
              <w:t xml:space="preserve">the time of an </w:t>
            </w:r>
            <w:r>
              <w:t xml:space="preserve">election </w:t>
            </w:r>
            <w:r>
              <w:t>by a candidate for office, a specific-purpose committee or a general-purpose committee</w:t>
            </w:r>
            <w:r>
              <w:t>, as applicable,</w:t>
            </w:r>
            <w:r>
              <w:t xml:space="preserve"> from </w:t>
            </w:r>
            <w:r>
              <w:t>a</w:t>
            </w:r>
            <w:r>
              <w:t>n</w:t>
            </w:r>
            <w:r>
              <w:t xml:space="preserve"> </w:t>
            </w:r>
            <w:r>
              <w:t xml:space="preserve">applicable civil </w:t>
            </w:r>
            <w:r>
              <w:t>penalty</w:t>
            </w:r>
            <w:r>
              <w:t xml:space="preserve"> for </w:t>
            </w:r>
            <w:r w:rsidRPr="00AD6F85">
              <w:t>late filing</w:t>
            </w:r>
            <w:r>
              <w:t xml:space="preserve"> if </w:t>
            </w:r>
            <w:r>
              <w:t>t</w:t>
            </w:r>
            <w:r>
              <w:t>he originally filed document contains an</w:t>
            </w:r>
            <w:r>
              <w:t xml:space="preserve"> error or omission made in good faith </w:t>
            </w:r>
            <w:r>
              <w:t>that is corrected or amended according to the method and within the time prescribed by law</w:t>
            </w:r>
            <w:r>
              <w:t>.</w:t>
            </w:r>
            <w:r>
              <w:t xml:space="preserve"> </w:t>
            </w:r>
            <w:r>
              <w:t>The bill requires the TEC to dismiss a complaint at any stage of a complaint proceedin</w:t>
            </w:r>
            <w:r>
              <w:t>g to the extent the complaint alleges a statement, registration</w:t>
            </w:r>
            <w:r>
              <w:t>,</w:t>
            </w:r>
            <w:r>
              <w:t xml:space="preserve"> or report violates a law or rule if, </w:t>
            </w:r>
            <w:r w:rsidRPr="00321EAC">
              <w:t xml:space="preserve">before the TEC accepts </w:t>
            </w:r>
            <w:r>
              <w:t>jurisdiction over the complaint, the respondent has filed a corrected or amended statement, registration, or report that remedies t</w:t>
            </w:r>
            <w:r>
              <w:t>he alleged violation.</w:t>
            </w:r>
          </w:p>
          <w:p w:rsidR="00F9721D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B3343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721D">
              <w:t xml:space="preserve">S.B. 548 </w:t>
            </w:r>
            <w:r>
              <w:t xml:space="preserve">establishes as a defense to prosecution or to imposition of a civil penalty for the violation of a law that the person requested a written advisory opinion from the TEC relating to the application of that law to a specified </w:t>
            </w:r>
            <w:r>
              <w:t>existing fact situation involving the person that is the same or substantially similar to the fact situation that forms the basis of the alleged violation</w:t>
            </w:r>
            <w:r>
              <w:t>,</w:t>
            </w:r>
            <w:r>
              <w:t xml:space="preserve"> and the TEC did not issue the opinion within the </w:t>
            </w:r>
            <w:r>
              <w:t>time prescribed by statu</w:t>
            </w:r>
            <w:r>
              <w:t>t</w:t>
            </w:r>
            <w:r>
              <w:t>e</w:t>
            </w:r>
            <w:r>
              <w:t xml:space="preserve">. </w:t>
            </w:r>
            <w:r>
              <w:t xml:space="preserve">The bill limits </w:t>
            </w:r>
            <w:r>
              <w:t xml:space="preserve">this </w:t>
            </w:r>
            <w:r>
              <w:t xml:space="preserve">defense to acts giving rise to a potential violation of law occurring in the period beginning on the date the deadline </w:t>
            </w:r>
            <w:r>
              <w:t xml:space="preserve">for TEC issuance of an advisory opinion </w:t>
            </w:r>
            <w:r>
              <w:t xml:space="preserve">expires and </w:t>
            </w:r>
            <w:r>
              <w:t xml:space="preserve">ending on </w:t>
            </w:r>
            <w:r>
              <w:t>the date the TEC issues the opinion.</w:t>
            </w:r>
          </w:p>
          <w:p w:rsidR="005B3343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45B3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B3343">
              <w:t xml:space="preserve">S.B. 548 </w:t>
            </w:r>
            <w:r>
              <w:t>authorizes a respondent to r</w:t>
            </w:r>
            <w:r>
              <w:t xml:space="preserve">equest </w:t>
            </w:r>
            <w:r>
              <w:t xml:space="preserve">in the same manner authorized for a complainant </w:t>
            </w:r>
            <w:r>
              <w:t xml:space="preserve">that the TEC review </w:t>
            </w:r>
            <w:r>
              <w:t>a</w:t>
            </w:r>
            <w:r>
              <w:t xml:space="preserve"> determination </w:t>
            </w:r>
            <w:r>
              <w:t>by the</w:t>
            </w:r>
            <w:r>
              <w:t xml:space="preserve"> executive director</w:t>
            </w:r>
            <w:r>
              <w:t xml:space="preserve"> of the TEC</w:t>
            </w:r>
            <w:r>
              <w:t xml:space="preserve"> </w:t>
            </w:r>
            <w:r w:rsidRPr="00AE45B3">
              <w:t>that</w:t>
            </w:r>
            <w:r>
              <w:t xml:space="preserve"> the TEC </w:t>
            </w:r>
            <w:r w:rsidRPr="00AE45B3">
              <w:t xml:space="preserve">does not have jurisdiction over the violation alleged in </w:t>
            </w:r>
            <w:r>
              <w:t>a</w:t>
            </w:r>
            <w:r w:rsidRPr="00AE45B3">
              <w:t xml:space="preserve"> complaint</w:t>
            </w:r>
            <w:r>
              <w:t>.</w:t>
            </w:r>
          </w:p>
          <w:p w:rsidR="00AE45B3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B6E5A" w:rsidRDefault="004A6B9B" w:rsidP="00617FA2">
            <w:pPr>
              <w:pStyle w:val="Header"/>
              <w:jc w:val="both"/>
            </w:pPr>
            <w:r>
              <w:t xml:space="preserve">S.B. 548 </w:t>
            </w:r>
            <w:r>
              <w:t xml:space="preserve">revises </w:t>
            </w:r>
            <w:r>
              <w:t>provisions relating to</w:t>
            </w:r>
            <w:r>
              <w:t xml:space="preserve"> </w:t>
            </w:r>
            <w:r>
              <w:t>prel</w:t>
            </w:r>
            <w:r>
              <w:t xml:space="preserve">iminary review of a complaint by the </w:t>
            </w:r>
            <w:r>
              <w:t xml:space="preserve">TEC </w:t>
            </w:r>
            <w:r>
              <w:t>by making the following changes:</w:t>
            </w:r>
          </w:p>
          <w:p w:rsidR="006B6E5A" w:rsidRDefault="004A6B9B" w:rsidP="00617F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removing requirements for the TEC to set a matter that is not resolved by agreement between the TEC and the respondent within a specified period after the date the respondent receive</w:t>
            </w:r>
            <w:r>
              <w:t xml:space="preserve">s a notice of the filing of the complaint for a </w:t>
            </w:r>
            <w:r w:rsidRPr="006B6E5A">
              <w:t xml:space="preserve">preliminary review hearing to be held at the next </w:t>
            </w:r>
            <w:r>
              <w:t>TEC</w:t>
            </w:r>
            <w:r w:rsidRPr="006B6E5A">
              <w:t xml:space="preserve"> meeting for which notice has not yet been posted</w:t>
            </w:r>
            <w:r>
              <w:t>;</w:t>
            </w:r>
          </w:p>
          <w:p w:rsidR="00175788" w:rsidRDefault="004A6B9B" w:rsidP="00617F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removing certain notice requirements relating to a preliminary review hearing;</w:t>
            </w:r>
          </w:p>
          <w:p w:rsidR="00F154CA" w:rsidRDefault="004A6B9B" w:rsidP="00617F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requiring</w:t>
            </w:r>
            <w:r>
              <w:t xml:space="preserve"> the TEC, not la</w:t>
            </w:r>
            <w:r>
              <w:t xml:space="preserve">ter than the 120th day after the later of the date the TEC receives a respondent's response to notice </w:t>
            </w:r>
            <w:r>
              <w:t xml:space="preserve">of a complaint or </w:t>
            </w:r>
            <w:r>
              <w:t xml:space="preserve">receives the respondent's response </w:t>
            </w:r>
            <w:r>
              <w:t>to</w:t>
            </w:r>
            <w:r>
              <w:t xml:space="preserve"> </w:t>
            </w:r>
            <w:r>
              <w:t xml:space="preserve">written </w:t>
            </w:r>
            <w:r>
              <w:t xml:space="preserve">discovery </w:t>
            </w:r>
            <w:r>
              <w:t>questions</w:t>
            </w:r>
            <w:r>
              <w:t>, if applicable</w:t>
            </w:r>
            <w:r>
              <w:t>, to propose an agreement to the respondent to settle th</w:t>
            </w:r>
            <w:r>
              <w:t xml:space="preserve">e complaint without holding a preliminary hearing or </w:t>
            </w:r>
            <w:r>
              <w:t xml:space="preserve">to </w:t>
            </w:r>
            <w:r>
              <w:t>dismiss the complaint</w:t>
            </w:r>
            <w:r>
              <w:t>;</w:t>
            </w:r>
          </w:p>
          <w:p w:rsidR="00CC7303" w:rsidRDefault="004A6B9B" w:rsidP="00617F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tolling</w:t>
            </w:r>
            <w:r>
              <w:t xml:space="preserve"> the deadline for the </w:t>
            </w:r>
            <w:r>
              <w:t>TEC</w:t>
            </w:r>
            <w:r>
              <w:t xml:space="preserve"> to take </w:t>
            </w:r>
            <w:r>
              <w:t xml:space="preserve">those </w:t>
            </w:r>
            <w:r>
              <w:t>action</w:t>
            </w:r>
            <w:r>
              <w:t>s</w:t>
            </w:r>
            <w:r>
              <w:t xml:space="preserve"> for the duration of any litigation brought by the respondent or the TEC regarding the complaint at issue</w:t>
            </w:r>
            <w:r>
              <w:t>;</w:t>
            </w:r>
          </w:p>
          <w:p w:rsidR="00CC7303" w:rsidRDefault="004A6B9B" w:rsidP="00617F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requiring a </w:t>
            </w:r>
            <w:r>
              <w:t xml:space="preserve">matter </w:t>
            </w:r>
            <w:r>
              <w:t xml:space="preserve">in which a respondent rejects the proposed settlement </w:t>
            </w:r>
            <w:r>
              <w:t>to be set for a preliminary review hearing at the next TEC meeting for which notice has not yet been posted</w:t>
            </w:r>
            <w:r>
              <w:t>; and</w:t>
            </w:r>
            <w:r>
              <w:t xml:space="preserve"> </w:t>
            </w:r>
          </w:p>
          <w:p w:rsidR="00CC7303" w:rsidRDefault="004A6B9B" w:rsidP="00617F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requiring </w:t>
            </w:r>
            <w:r>
              <w:t xml:space="preserve">the TEC, if a complaint is dismissed, to deny jurisdiction over any </w:t>
            </w:r>
            <w:r w:rsidRPr="005C5120">
              <w:t>sub</w:t>
            </w:r>
            <w:r w:rsidRPr="005C5120">
              <w:t>sequent complaint against the respondent that alleges the respondent violated the same statutes or rules based on the same facts alleged in the dismissed complaint.</w:t>
            </w:r>
            <w:r>
              <w:t xml:space="preserve"> </w:t>
            </w:r>
          </w:p>
          <w:p w:rsidR="00145F7D" w:rsidRDefault="004A6B9B" w:rsidP="00617FA2">
            <w:pPr>
              <w:pStyle w:val="Header"/>
              <w:jc w:val="both"/>
            </w:pPr>
            <w:r>
              <w:t xml:space="preserve">The bill authorizes </w:t>
            </w:r>
            <w:r>
              <w:t xml:space="preserve">counsel for a respondent to </w:t>
            </w:r>
            <w:r w:rsidRPr="00145F7D">
              <w:t xml:space="preserve">subpoena a witness to a </w:t>
            </w:r>
            <w:r>
              <w:t>preliminary review</w:t>
            </w:r>
            <w:r>
              <w:t xml:space="preserve"> </w:t>
            </w:r>
            <w:r>
              <w:t xml:space="preserve">hearing </w:t>
            </w:r>
            <w:r>
              <w:t xml:space="preserve">or </w:t>
            </w:r>
            <w:r>
              <w:t xml:space="preserve">a </w:t>
            </w:r>
            <w:r>
              <w:t xml:space="preserve">formal hearing </w:t>
            </w:r>
            <w:r w:rsidRPr="00145F7D">
              <w:t>in the same manner as an attorney may issue a subpoena in a proceeding in a county or district court.</w:t>
            </w:r>
            <w:r>
              <w:t xml:space="preserve"> </w:t>
            </w:r>
          </w:p>
          <w:p w:rsidR="00B958BA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548 repeals </w:t>
            </w:r>
            <w:r w:rsidRPr="00B958BA">
              <w:t>Section 571.1242(e), Government Code</w:t>
            </w:r>
            <w:r>
              <w:t>.</w:t>
            </w:r>
          </w:p>
          <w:p w:rsidR="008423E4" w:rsidRPr="00835628" w:rsidRDefault="004A6B9B" w:rsidP="00617FA2">
            <w:pPr>
              <w:rPr>
                <w:b/>
              </w:rPr>
            </w:pPr>
          </w:p>
        </w:tc>
      </w:tr>
      <w:tr w:rsidR="0000253F" w:rsidTr="00345119">
        <w:tc>
          <w:tcPr>
            <w:tcW w:w="9576" w:type="dxa"/>
          </w:tcPr>
          <w:p w:rsidR="008423E4" w:rsidRPr="00A8133F" w:rsidRDefault="004A6B9B" w:rsidP="00617F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6B9B" w:rsidP="00617FA2"/>
          <w:p w:rsidR="008423E4" w:rsidRPr="003624F2" w:rsidRDefault="004A6B9B" w:rsidP="00617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A6B9B" w:rsidP="00617FA2">
            <w:pPr>
              <w:rPr>
                <w:b/>
              </w:rPr>
            </w:pPr>
          </w:p>
        </w:tc>
      </w:tr>
    </w:tbl>
    <w:p w:rsidR="008423E4" w:rsidRPr="00BE0E75" w:rsidRDefault="004A6B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6B9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6B9B">
      <w:r>
        <w:separator/>
      </w:r>
    </w:p>
  </w:endnote>
  <w:endnote w:type="continuationSeparator" w:id="0">
    <w:p w:rsidR="00000000" w:rsidRDefault="004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AB" w:rsidRDefault="004A6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253F" w:rsidTr="009C1E9A">
      <w:trPr>
        <w:cantSplit/>
      </w:trPr>
      <w:tc>
        <w:tcPr>
          <w:tcW w:w="0" w:type="pct"/>
        </w:tcPr>
        <w:p w:rsidR="00137D90" w:rsidRDefault="004A6B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6B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6B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6B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6B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253F" w:rsidTr="009C1E9A">
      <w:trPr>
        <w:cantSplit/>
      </w:trPr>
      <w:tc>
        <w:tcPr>
          <w:tcW w:w="0" w:type="pct"/>
        </w:tcPr>
        <w:p w:rsidR="00EC379B" w:rsidRDefault="004A6B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6B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31968</w:t>
          </w:r>
        </w:p>
      </w:tc>
      <w:tc>
        <w:tcPr>
          <w:tcW w:w="2453" w:type="pct"/>
        </w:tcPr>
        <w:p w:rsidR="00EC379B" w:rsidRDefault="004A6B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19.126.773</w:t>
          </w:r>
          <w:r>
            <w:fldChar w:fldCharType="end"/>
          </w:r>
        </w:p>
      </w:tc>
    </w:tr>
    <w:tr w:rsidR="0000253F" w:rsidTr="009C1E9A">
      <w:trPr>
        <w:cantSplit/>
      </w:trPr>
      <w:tc>
        <w:tcPr>
          <w:tcW w:w="0" w:type="pct"/>
        </w:tcPr>
        <w:p w:rsidR="00EC379B" w:rsidRDefault="004A6B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6B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A6B9B" w:rsidP="006D504F">
          <w:pPr>
            <w:pStyle w:val="Footer"/>
            <w:rPr>
              <w:rStyle w:val="PageNumber"/>
            </w:rPr>
          </w:pPr>
        </w:p>
        <w:p w:rsidR="00EC379B" w:rsidRDefault="004A6B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25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6B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6B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6B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AB" w:rsidRDefault="004A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6B9B">
      <w:r>
        <w:separator/>
      </w:r>
    </w:p>
  </w:footnote>
  <w:footnote w:type="continuationSeparator" w:id="0">
    <w:p w:rsidR="00000000" w:rsidRDefault="004A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AB" w:rsidRDefault="004A6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AB" w:rsidRDefault="004A6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AB" w:rsidRDefault="004A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483F"/>
    <w:multiLevelType w:val="hybridMultilevel"/>
    <w:tmpl w:val="9BBE3746"/>
    <w:lvl w:ilvl="0" w:tplc="36DE6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C0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C9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4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0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01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63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EA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A0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F"/>
    <w:rsid w:val="0000253F"/>
    <w:rsid w:val="004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C5F9CF-DDC0-414B-8E7F-B5604DD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9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9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92E"/>
    <w:rPr>
      <w:b/>
      <w:bCs/>
    </w:rPr>
  </w:style>
  <w:style w:type="character" w:styleId="Hyperlink">
    <w:name w:val="Hyperlink"/>
    <w:basedOn w:val="DefaultParagraphFont"/>
    <w:unhideWhenUsed/>
    <w:rsid w:val="008D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4007</Characters>
  <Application>Microsoft Office Word</Application>
  <DocSecurity>4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SB00548 (Committee Report (Unamended))</vt:lpstr>
    </vt:vector>
  </TitlesOfParts>
  <Company>State of Texas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31968</dc:subject>
  <dc:creator>State of Texas</dc:creator>
  <dc:description>SB 548 by Birdwell-(H)State Affairs</dc:description>
  <cp:lastModifiedBy>Scotty Wimberley</cp:lastModifiedBy>
  <cp:revision>2</cp:revision>
  <cp:lastPrinted>2019-05-06T16:09:00Z</cp:lastPrinted>
  <dcterms:created xsi:type="dcterms:W3CDTF">2019-05-14T16:05:00Z</dcterms:created>
  <dcterms:modified xsi:type="dcterms:W3CDTF">2019-05-14T16:05:00Z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19.126.773</vt:lpwstr>
  </property>
</Properties>
</file>