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34F2D" w:rsidTr="00345119">
        <w:tc>
          <w:tcPr>
            <w:tcW w:w="9576" w:type="dxa"/>
            <w:noWrap/>
          </w:tcPr>
          <w:p w:rsidR="008423E4" w:rsidRPr="0022177D" w:rsidRDefault="000A1D0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A1D00" w:rsidP="008423E4">
      <w:pPr>
        <w:jc w:val="center"/>
      </w:pPr>
    </w:p>
    <w:p w:rsidR="008423E4" w:rsidRPr="00B31F0E" w:rsidRDefault="000A1D00" w:rsidP="008423E4"/>
    <w:p w:rsidR="008423E4" w:rsidRPr="00742794" w:rsidRDefault="000A1D0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4F2D" w:rsidTr="00345119">
        <w:tc>
          <w:tcPr>
            <w:tcW w:w="9576" w:type="dxa"/>
          </w:tcPr>
          <w:p w:rsidR="008423E4" w:rsidRPr="00861995" w:rsidRDefault="000A1D00" w:rsidP="00345119">
            <w:pPr>
              <w:jc w:val="right"/>
            </w:pPr>
            <w:r>
              <w:t>S.B. 550</w:t>
            </w:r>
          </w:p>
        </w:tc>
      </w:tr>
      <w:tr w:rsidR="00134F2D" w:rsidTr="00345119">
        <w:tc>
          <w:tcPr>
            <w:tcW w:w="9576" w:type="dxa"/>
          </w:tcPr>
          <w:p w:rsidR="008423E4" w:rsidRPr="00861995" w:rsidRDefault="000A1D00" w:rsidP="00164F33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134F2D" w:rsidTr="00345119">
        <w:tc>
          <w:tcPr>
            <w:tcW w:w="9576" w:type="dxa"/>
          </w:tcPr>
          <w:p w:rsidR="008423E4" w:rsidRPr="00861995" w:rsidRDefault="000A1D00" w:rsidP="00345119">
            <w:pPr>
              <w:jc w:val="right"/>
            </w:pPr>
            <w:r>
              <w:t>Corrections</w:t>
            </w:r>
          </w:p>
        </w:tc>
      </w:tr>
      <w:tr w:rsidR="00134F2D" w:rsidTr="00345119">
        <w:tc>
          <w:tcPr>
            <w:tcW w:w="9576" w:type="dxa"/>
          </w:tcPr>
          <w:p w:rsidR="008423E4" w:rsidRDefault="000A1D0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A1D00" w:rsidP="008423E4">
      <w:pPr>
        <w:tabs>
          <w:tab w:val="right" w:pos="9360"/>
        </w:tabs>
      </w:pPr>
    </w:p>
    <w:p w:rsidR="008423E4" w:rsidRDefault="000A1D00" w:rsidP="008423E4"/>
    <w:p w:rsidR="008423E4" w:rsidRDefault="000A1D0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34F2D" w:rsidTr="00345119">
        <w:tc>
          <w:tcPr>
            <w:tcW w:w="9576" w:type="dxa"/>
          </w:tcPr>
          <w:p w:rsidR="008423E4" w:rsidRPr="00A8133F" w:rsidRDefault="000A1D00" w:rsidP="00387E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A1D00" w:rsidP="00387E92"/>
          <w:p w:rsidR="008423E4" w:rsidRDefault="000A1D00" w:rsidP="00387E92">
            <w:pPr>
              <w:pStyle w:val="Header"/>
              <w:jc w:val="both"/>
            </w:pPr>
            <w:r>
              <w:t xml:space="preserve">There are concerns that current Texas law does not provide a means of relief to address certain records relating to a case that has been dismissed following completion of community supervision after the judgment in the case has been set aside by a court. </w:t>
            </w:r>
            <w:r>
              <w:t>I</w:t>
            </w:r>
            <w:r>
              <w:t>t has been suggested that making</w:t>
            </w:r>
            <w:r>
              <w:t xml:space="preserve"> a</w:t>
            </w:r>
            <w:r>
              <w:t xml:space="preserve"> defendant </w:t>
            </w:r>
            <w:r>
              <w:t xml:space="preserve">who </w:t>
            </w:r>
            <w:r>
              <w:t xml:space="preserve">has such a </w:t>
            </w:r>
            <w:r>
              <w:t>set</w:t>
            </w:r>
            <w:r>
              <w:noBreakHyphen/>
              <w:t xml:space="preserve">aside conviction and </w:t>
            </w:r>
            <w:r>
              <w:t xml:space="preserve">who </w:t>
            </w:r>
            <w:r>
              <w:t>has successfully completed</w:t>
            </w:r>
            <w:r>
              <w:t xml:space="preserve"> community supervision </w:t>
            </w:r>
            <w:r>
              <w:t>eligible</w:t>
            </w:r>
            <w:r>
              <w:t xml:space="preserve"> to petition a court</w:t>
            </w:r>
            <w:r>
              <w:t xml:space="preserve"> for an order of nondisclosure of criminal history record information would provide </w:t>
            </w:r>
            <w:r>
              <w:t xml:space="preserve">this </w:t>
            </w:r>
            <w:r>
              <w:t>r</w:t>
            </w:r>
            <w:r>
              <w:t xml:space="preserve">elief for </w:t>
            </w:r>
            <w:r>
              <w:t xml:space="preserve">such a </w:t>
            </w:r>
            <w:r>
              <w:t>defendant while still allowing the information to be available to the courts for</w:t>
            </w:r>
            <w:r>
              <w:t xml:space="preserve"> possible future use</w:t>
            </w:r>
            <w:r>
              <w:t>. S.B. 550 seeks to add</w:t>
            </w:r>
            <w:r>
              <w:t>ress this issue by expanding the eligibility of certain criminal defendants for an order of nondisclosure of crimina</w:t>
            </w:r>
            <w:r>
              <w:t>l history record information.</w:t>
            </w:r>
          </w:p>
          <w:p w:rsidR="00C8445A" w:rsidRPr="00E26B13" w:rsidRDefault="000A1D00" w:rsidP="00387E92">
            <w:pPr>
              <w:pStyle w:val="Header"/>
              <w:jc w:val="both"/>
              <w:rPr>
                <w:b/>
              </w:rPr>
            </w:pPr>
          </w:p>
        </w:tc>
      </w:tr>
      <w:tr w:rsidR="00134F2D" w:rsidTr="00345119">
        <w:tc>
          <w:tcPr>
            <w:tcW w:w="9576" w:type="dxa"/>
          </w:tcPr>
          <w:p w:rsidR="0017725B" w:rsidRDefault="000A1D00" w:rsidP="00387E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A1D00" w:rsidP="00387E92">
            <w:pPr>
              <w:rPr>
                <w:b/>
                <w:u w:val="single"/>
              </w:rPr>
            </w:pPr>
          </w:p>
          <w:p w:rsidR="004158E0" w:rsidRPr="004158E0" w:rsidRDefault="000A1D00" w:rsidP="00387E9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</w:t>
            </w:r>
            <w:r>
              <w:t>of a person for community supervision, parole, or mandatory supervision.</w:t>
            </w:r>
          </w:p>
          <w:p w:rsidR="0017725B" w:rsidRPr="0017725B" w:rsidRDefault="000A1D00" w:rsidP="00387E92">
            <w:pPr>
              <w:rPr>
                <w:b/>
                <w:u w:val="single"/>
              </w:rPr>
            </w:pPr>
          </w:p>
        </w:tc>
      </w:tr>
      <w:tr w:rsidR="00134F2D" w:rsidTr="00345119">
        <w:tc>
          <w:tcPr>
            <w:tcW w:w="9576" w:type="dxa"/>
          </w:tcPr>
          <w:p w:rsidR="008423E4" w:rsidRPr="00A8133F" w:rsidRDefault="000A1D00" w:rsidP="00387E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A1D00" w:rsidP="00387E92"/>
          <w:p w:rsidR="004158E0" w:rsidRDefault="000A1D00" w:rsidP="00387E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0A1D00" w:rsidP="00387E92">
            <w:pPr>
              <w:rPr>
                <w:b/>
              </w:rPr>
            </w:pPr>
          </w:p>
        </w:tc>
      </w:tr>
      <w:tr w:rsidR="00134F2D" w:rsidTr="00345119">
        <w:tc>
          <w:tcPr>
            <w:tcW w:w="9576" w:type="dxa"/>
          </w:tcPr>
          <w:p w:rsidR="008423E4" w:rsidRPr="00A8133F" w:rsidRDefault="000A1D00" w:rsidP="00387E9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A1D00" w:rsidP="00387E92"/>
          <w:p w:rsidR="008D1C7D" w:rsidRDefault="000A1D00" w:rsidP="00387E92">
            <w:pPr>
              <w:pStyle w:val="Header"/>
              <w:jc w:val="both"/>
            </w:pPr>
            <w:r>
              <w:t xml:space="preserve">S.B. 550 amends the Government Code to authorize </w:t>
            </w:r>
            <w:r>
              <w:t xml:space="preserve">a person </w:t>
            </w:r>
            <w:r>
              <w:t xml:space="preserve">who </w:t>
            </w:r>
            <w:r>
              <w:t xml:space="preserve">on conviction </w:t>
            </w:r>
            <w:r>
              <w:t xml:space="preserve">is placed on community supervision </w:t>
            </w:r>
            <w:r>
              <w:t>to</w:t>
            </w:r>
            <w:r>
              <w:t xml:space="preserve"> </w:t>
            </w:r>
            <w:r w:rsidRPr="0083671C">
              <w:t xml:space="preserve">petition the court that placed </w:t>
            </w:r>
            <w:r>
              <w:t>the</w:t>
            </w:r>
            <w:r w:rsidRPr="0083671C">
              <w:t xml:space="preserve"> person on community supervision for an order of nondisclosure of criminal history</w:t>
            </w:r>
            <w:r w:rsidRPr="0083671C">
              <w:t xml:space="preserve"> record information </w:t>
            </w:r>
            <w:r>
              <w:t>if</w:t>
            </w:r>
            <w:r>
              <w:t>:</w:t>
            </w:r>
          </w:p>
          <w:p w:rsidR="004158E0" w:rsidRDefault="000A1D00" w:rsidP="00387E9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4158E0">
              <w:t xml:space="preserve">the conviction is subsequently set aside by the court; </w:t>
            </w:r>
          </w:p>
          <w:p w:rsidR="004158E0" w:rsidRDefault="000A1D00" w:rsidP="00387E9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person </w:t>
            </w:r>
            <w:r w:rsidRPr="004158E0">
              <w:t xml:space="preserve">is not convicted of an offense for which the person would be ineligible for deferred adjudication community supervision; and </w:t>
            </w:r>
          </w:p>
          <w:p w:rsidR="004158E0" w:rsidRDefault="000A1D00" w:rsidP="00387E92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 xml:space="preserve">the person </w:t>
            </w:r>
            <w:r w:rsidRPr="004158E0">
              <w:t>satisfies the required condi</w:t>
            </w:r>
            <w:r w:rsidRPr="004158E0">
              <w:t>tions for receiving an order of nondisclosure</w:t>
            </w:r>
            <w:r>
              <w:t>.</w:t>
            </w:r>
          </w:p>
          <w:p w:rsidR="004158E0" w:rsidRPr="00387E92" w:rsidRDefault="000A1D00" w:rsidP="00387E92">
            <w:pPr>
              <w:pStyle w:val="Header"/>
              <w:contextualSpacing/>
              <w:jc w:val="both"/>
            </w:pPr>
          </w:p>
          <w:p w:rsidR="004158E0" w:rsidRDefault="000A1D00" w:rsidP="00387E92">
            <w:pPr>
              <w:pStyle w:val="Header"/>
              <w:spacing w:after="120"/>
              <w:jc w:val="both"/>
            </w:pPr>
            <w:r>
              <w:t>S.B. 550 requires the court, after notice to the state, an opportunity for a hearing, and a determination that the person is entitled to file the petition and that issuance of the order is in the best interest of justice, to issue an order prohibiting crim</w:t>
            </w:r>
            <w:r>
              <w:t xml:space="preserve">inal justice agencies from disclosing to the public criminal history record information related to the offense giving rise to the community supervision. The bill </w:t>
            </w:r>
            <w:r>
              <w:t>restricts a person's eligibility to petition the applicable court to a time after</w:t>
            </w:r>
            <w:r>
              <w:t>:</w:t>
            </w:r>
          </w:p>
          <w:p w:rsidR="004158E0" w:rsidRDefault="000A1D00" w:rsidP="00387E9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the second </w:t>
            </w:r>
            <w:r>
              <w:t>anniversary of the date the conviction is set aside, if the offense for which the person was placed on community supervision was a misdemeanor; or</w:t>
            </w:r>
          </w:p>
          <w:p w:rsidR="008423E4" w:rsidRDefault="000A1D00" w:rsidP="00387E9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fifth anniversary of the date the conviction is set aside, if the offense for which the person was placed</w:t>
            </w:r>
            <w:r>
              <w:t xml:space="preserve"> on community supervision was a felony.</w:t>
            </w:r>
          </w:p>
          <w:p w:rsidR="00387E92" w:rsidRPr="004158E0" w:rsidRDefault="000A1D00" w:rsidP="00387E92">
            <w:pPr>
              <w:pStyle w:val="Header"/>
              <w:spacing w:before="120" w:after="120"/>
              <w:jc w:val="both"/>
            </w:pPr>
          </w:p>
        </w:tc>
      </w:tr>
      <w:tr w:rsidR="00134F2D" w:rsidTr="00345119">
        <w:tc>
          <w:tcPr>
            <w:tcW w:w="9576" w:type="dxa"/>
          </w:tcPr>
          <w:p w:rsidR="008423E4" w:rsidRPr="00A8133F" w:rsidRDefault="000A1D00" w:rsidP="00387E9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387E92" w:rsidRDefault="000A1D00" w:rsidP="00387E92"/>
          <w:p w:rsidR="008423E4" w:rsidRPr="003624F2" w:rsidRDefault="000A1D00" w:rsidP="00387E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A1D00" w:rsidP="00387E92">
            <w:pPr>
              <w:rPr>
                <w:b/>
              </w:rPr>
            </w:pPr>
          </w:p>
        </w:tc>
      </w:tr>
    </w:tbl>
    <w:p w:rsidR="008423E4" w:rsidRPr="00BE0E75" w:rsidRDefault="000A1D0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A1D0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1D00">
      <w:r>
        <w:separator/>
      </w:r>
    </w:p>
  </w:endnote>
  <w:endnote w:type="continuationSeparator" w:id="0">
    <w:p w:rsidR="00000000" w:rsidRDefault="000A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4F2D" w:rsidTr="009C1E9A">
      <w:trPr>
        <w:cantSplit/>
      </w:trPr>
      <w:tc>
        <w:tcPr>
          <w:tcW w:w="0" w:type="pct"/>
        </w:tcPr>
        <w:p w:rsidR="00137D90" w:rsidRDefault="000A1D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A1D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A1D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A1D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A1D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4F2D" w:rsidTr="009C1E9A">
      <w:trPr>
        <w:cantSplit/>
      </w:trPr>
      <w:tc>
        <w:tcPr>
          <w:tcW w:w="0" w:type="pct"/>
        </w:tcPr>
        <w:p w:rsidR="00EC379B" w:rsidRDefault="000A1D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A1D0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34380</w:t>
          </w:r>
        </w:p>
      </w:tc>
      <w:tc>
        <w:tcPr>
          <w:tcW w:w="2453" w:type="pct"/>
        </w:tcPr>
        <w:p w:rsidR="00EC379B" w:rsidRDefault="000A1D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19.135.242</w:t>
          </w:r>
          <w:r>
            <w:fldChar w:fldCharType="end"/>
          </w:r>
        </w:p>
      </w:tc>
    </w:tr>
    <w:tr w:rsidR="00134F2D" w:rsidTr="009C1E9A">
      <w:trPr>
        <w:cantSplit/>
      </w:trPr>
      <w:tc>
        <w:tcPr>
          <w:tcW w:w="0" w:type="pct"/>
        </w:tcPr>
        <w:p w:rsidR="00EC379B" w:rsidRDefault="000A1D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A1D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A1D00" w:rsidP="006D504F">
          <w:pPr>
            <w:pStyle w:val="Footer"/>
            <w:rPr>
              <w:rStyle w:val="PageNumber"/>
            </w:rPr>
          </w:pPr>
        </w:p>
        <w:p w:rsidR="00EC379B" w:rsidRDefault="000A1D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4F2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A1D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A1D0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A1D0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1D00">
      <w:r>
        <w:separator/>
      </w:r>
    </w:p>
  </w:footnote>
  <w:footnote w:type="continuationSeparator" w:id="0">
    <w:p w:rsidR="00000000" w:rsidRDefault="000A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1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59A7"/>
    <w:multiLevelType w:val="hybridMultilevel"/>
    <w:tmpl w:val="5ACCDE0C"/>
    <w:lvl w:ilvl="0" w:tplc="37A2922E">
      <w:start w:val="1"/>
      <w:numFmt w:val="decimal"/>
      <w:lvlText w:val="(%1)"/>
      <w:lvlJc w:val="left"/>
      <w:pPr>
        <w:ind w:left="800" w:hanging="440"/>
      </w:pPr>
      <w:rPr>
        <w:rFonts w:hint="default"/>
      </w:rPr>
    </w:lvl>
    <w:lvl w:ilvl="1" w:tplc="77FECA48" w:tentative="1">
      <w:start w:val="1"/>
      <w:numFmt w:val="lowerLetter"/>
      <w:lvlText w:val="%2."/>
      <w:lvlJc w:val="left"/>
      <w:pPr>
        <w:ind w:left="1440" w:hanging="360"/>
      </w:pPr>
    </w:lvl>
    <w:lvl w:ilvl="2" w:tplc="9FAC2888" w:tentative="1">
      <w:start w:val="1"/>
      <w:numFmt w:val="lowerRoman"/>
      <w:lvlText w:val="%3."/>
      <w:lvlJc w:val="right"/>
      <w:pPr>
        <w:ind w:left="2160" w:hanging="180"/>
      </w:pPr>
    </w:lvl>
    <w:lvl w:ilvl="3" w:tplc="4240E6E4" w:tentative="1">
      <w:start w:val="1"/>
      <w:numFmt w:val="decimal"/>
      <w:lvlText w:val="%4."/>
      <w:lvlJc w:val="left"/>
      <w:pPr>
        <w:ind w:left="2880" w:hanging="360"/>
      </w:pPr>
    </w:lvl>
    <w:lvl w:ilvl="4" w:tplc="5A7E14AE" w:tentative="1">
      <w:start w:val="1"/>
      <w:numFmt w:val="lowerLetter"/>
      <w:lvlText w:val="%5."/>
      <w:lvlJc w:val="left"/>
      <w:pPr>
        <w:ind w:left="3600" w:hanging="360"/>
      </w:pPr>
    </w:lvl>
    <w:lvl w:ilvl="5" w:tplc="9AE011E6" w:tentative="1">
      <w:start w:val="1"/>
      <w:numFmt w:val="lowerRoman"/>
      <w:lvlText w:val="%6."/>
      <w:lvlJc w:val="right"/>
      <w:pPr>
        <w:ind w:left="4320" w:hanging="180"/>
      </w:pPr>
    </w:lvl>
    <w:lvl w:ilvl="6" w:tplc="E7C2A6E2" w:tentative="1">
      <w:start w:val="1"/>
      <w:numFmt w:val="decimal"/>
      <w:lvlText w:val="%7."/>
      <w:lvlJc w:val="left"/>
      <w:pPr>
        <w:ind w:left="5040" w:hanging="360"/>
      </w:pPr>
    </w:lvl>
    <w:lvl w:ilvl="7" w:tplc="BA68CA5C" w:tentative="1">
      <w:start w:val="1"/>
      <w:numFmt w:val="lowerLetter"/>
      <w:lvlText w:val="%8."/>
      <w:lvlJc w:val="left"/>
      <w:pPr>
        <w:ind w:left="5760" w:hanging="360"/>
      </w:pPr>
    </w:lvl>
    <w:lvl w:ilvl="8" w:tplc="A948D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45181"/>
    <w:multiLevelType w:val="hybridMultilevel"/>
    <w:tmpl w:val="EE84E45A"/>
    <w:lvl w:ilvl="0" w:tplc="8646A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21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AA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A3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CE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84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E1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02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89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BD7"/>
    <w:multiLevelType w:val="hybridMultilevel"/>
    <w:tmpl w:val="00842322"/>
    <w:lvl w:ilvl="0" w:tplc="F4A29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25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C0C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AB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E28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2F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C2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3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2A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2D"/>
    <w:rsid w:val="000A1D00"/>
    <w:rsid w:val="0013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C0B90A-B02E-4273-9BFC-D606D55C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158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5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58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5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58E0"/>
    <w:rPr>
      <w:b/>
      <w:bCs/>
    </w:rPr>
  </w:style>
  <w:style w:type="paragraph" w:styleId="Revision">
    <w:name w:val="Revision"/>
    <w:hidden/>
    <w:uiPriority w:val="99"/>
    <w:semiHidden/>
    <w:rsid w:val="004158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2326</Characters>
  <Application>Microsoft Office Word</Application>
  <DocSecurity>4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SB00550 (Committee Report (Unamended))</vt:lpstr>
    </vt:vector>
  </TitlesOfParts>
  <Company>State of Texas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34380</dc:subject>
  <dc:creator>State of Texas</dc:creator>
  <dc:description>SB 550 by West-(H)Corrections</dc:description>
  <cp:lastModifiedBy>Scotty Wimberley</cp:lastModifiedBy>
  <cp:revision>2</cp:revision>
  <cp:lastPrinted>2003-11-26T17:21:00Z</cp:lastPrinted>
  <dcterms:created xsi:type="dcterms:W3CDTF">2019-05-16T17:22:00Z</dcterms:created>
  <dcterms:modified xsi:type="dcterms:W3CDTF">2019-05-16T17:22:00Z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19.135.242</vt:lpwstr>
  </property>
</Properties>
</file>