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0066F" w:rsidTr="00345119">
        <w:tc>
          <w:tcPr>
            <w:tcW w:w="9576" w:type="dxa"/>
            <w:noWrap/>
          </w:tcPr>
          <w:p w:rsidR="008423E4" w:rsidRPr="0022177D" w:rsidRDefault="009B2A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2A53" w:rsidP="008423E4">
      <w:pPr>
        <w:jc w:val="center"/>
      </w:pPr>
    </w:p>
    <w:p w:rsidR="008423E4" w:rsidRPr="00B31F0E" w:rsidRDefault="009B2A53" w:rsidP="008423E4"/>
    <w:p w:rsidR="008423E4" w:rsidRPr="00742794" w:rsidRDefault="009B2A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066F" w:rsidTr="00345119">
        <w:tc>
          <w:tcPr>
            <w:tcW w:w="9576" w:type="dxa"/>
          </w:tcPr>
          <w:p w:rsidR="008423E4" w:rsidRPr="00861995" w:rsidRDefault="009B2A53" w:rsidP="00345119">
            <w:pPr>
              <w:jc w:val="right"/>
            </w:pPr>
            <w:r>
              <w:t>S.B. 560</w:t>
            </w:r>
          </w:p>
        </w:tc>
      </w:tr>
      <w:tr w:rsidR="00E0066F" w:rsidTr="00345119">
        <w:tc>
          <w:tcPr>
            <w:tcW w:w="9576" w:type="dxa"/>
          </w:tcPr>
          <w:p w:rsidR="008423E4" w:rsidRPr="00861995" w:rsidRDefault="009B2A53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E0066F" w:rsidTr="00345119">
        <w:tc>
          <w:tcPr>
            <w:tcW w:w="9576" w:type="dxa"/>
          </w:tcPr>
          <w:p w:rsidR="008423E4" w:rsidRPr="00861995" w:rsidRDefault="009B2A53" w:rsidP="00345119">
            <w:pPr>
              <w:jc w:val="right"/>
            </w:pPr>
            <w:r>
              <w:t>Judiciary &amp; Civil Jurisprudence</w:t>
            </w:r>
          </w:p>
        </w:tc>
      </w:tr>
      <w:tr w:rsidR="00E0066F" w:rsidTr="00345119">
        <w:tc>
          <w:tcPr>
            <w:tcW w:w="9576" w:type="dxa"/>
          </w:tcPr>
          <w:p w:rsidR="008423E4" w:rsidRDefault="009B2A5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2A53" w:rsidP="008423E4">
      <w:pPr>
        <w:tabs>
          <w:tab w:val="right" w:pos="9360"/>
        </w:tabs>
      </w:pPr>
    </w:p>
    <w:p w:rsidR="008423E4" w:rsidRDefault="009B2A53" w:rsidP="008423E4"/>
    <w:p w:rsidR="008423E4" w:rsidRDefault="009B2A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0066F" w:rsidTr="00345119">
        <w:tc>
          <w:tcPr>
            <w:tcW w:w="9576" w:type="dxa"/>
          </w:tcPr>
          <w:p w:rsidR="008423E4" w:rsidRPr="00A8133F" w:rsidRDefault="009B2A53" w:rsidP="008048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2A53" w:rsidP="0080485E"/>
          <w:p w:rsidR="008423E4" w:rsidRDefault="009B2A53" w:rsidP="0080485E">
            <w:pPr>
              <w:pStyle w:val="Header"/>
              <w:jc w:val="both"/>
            </w:pPr>
            <w:r>
              <w:t xml:space="preserve">Concerns have been raised regarding </w:t>
            </w:r>
            <w:r>
              <w:t>the increase in recent years of</w:t>
            </w:r>
            <w:r>
              <w:t xml:space="preserve"> costs paid by counties for the appointment of attorneys to represent children and indigent parents in child protective services cases</w:t>
            </w:r>
            <w:r>
              <w:t xml:space="preserve"> and</w:t>
            </w:r>
            <w:r>
              <w:t xml:space="preserve"> regarding a </w:t>
            </w:r>
            <w:r>
              <w:t xml:space="preserve">lack </w:t>
            </w:r>
            <w:r>
              <w:t xml:space="preserve">of </w:t>
            </w:r>
            <w:r>
              <w:t xml:space="preserve">accurate data to determine how much counties are currently spending on </w:t>
            </w:r>
            <w:r>
              <w:t>these</w:t>
            </w:r>
            <w:r>
              <w:t xml:space="preserve"> attorneys</w:t>
            </w:r>
            <w:r>
              <w:t xml:space="preserve">. </w:t>
            </w:r>
            <w:r>
              <w:t xml:space="preserve">S.B. 560 </w:t>
            </w:r>
            <w:r>
              <w:t>seeks to address these concerns by requiring</w:t>
            </w:r>
            <w:r w:rsidRPr="009338DC">
              <w:t xml:space="preserve"> the Texas Judicial Council to develop </w:t>
            </w:r>
            <w:r>
              <w:t xml:space="preserve">and report on </w:t>
            </w:r>
            <w:r w:rsidRPr="009338DC">
              <w:t>a statewide plan requiring counties and courts in Texas to report information on court-ordered representation for appointments made in</w:t>
            </w:r>
            <w:r>
              <w:t xml:space="preserve"> certain</w:t>
            </w:r>
            <w:r w:rsidRPr="009338DC">
              <w:t xml:space="preserve"> suits affecting </w:t>
            </w:r>
            <w:r w:rsidRPr="009338DC">
              <w:t>the parent-child relationship</w:t>
            </w:r>
            <w:r>
              <w:t>.</w:t>
            </w:r>
          </w:p>
          <w:p w:rsidR="008423E4" w:rsidRPr="00E26B13" w:rsidRDefault="009B2A53" w:rsidP="0080485E">
            <w:pPr>
              <w:rPr>
                <w:b/>
              </w:rPr>
            </w:pPr>
          </w:p>
        </w:tc>
      </w:tr>
      <w:tr w:rsidR="00E0066F" w:rsidTr="00345119">
        <w:tc>
          <w:tcPr>
            <w:tcW w:w="9576" w:type="dxa"/>
          </w:tcPr>
          <w:p w:rsidR="0017725B" w:rsidRDefault="009B2A53" w:rsidP="00804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2A53" w:rsidP="0080485E">
            <w:pPr>
              <w:rPr>
                <w:b/>
                <w:u w:val="single"/>
              </w:rPr>
            </w:pPr>
          </w:p>
          <w:p w:rsidR="007C7232" w:rsidRPr="007C7232" w:rsidRDefault="009B2A53" w:rsidP="0080485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9B2A53" w:rsidP="0080485E">
            <w:pPr>
              <w:rPr>
                <w:b/>
                <w:u w:val="single"/>
              </w:rPr>
            </w:pPr>
          </w:p>
        </w:tc>
      </w:tr>
      <w:tr w:rsidR="00E0066F" w:rsidTr="00345119">
        <w:tc>
          <w:tcPr>
            <w:tcW w:w="9576" w:type="dxa"/>
          </w:tcPr>
          <w:p w:rsidR="008423E4" w:rsidRPr="00A8133F" w:rsidRDefault="009B2A53" w:rsidP="008048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2A53" w:rsidP="0080485E"/>
          <w:p w:rsidR="007C7232" w:rsidRDefault="009B2A53" w:rsidP="008048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B2A53" w:rsidP="0080485E">
            <w:pPr>
              <w:rPr>
                <w:b/>
              </w:rPr>
            </w:pPr>
          </w:p>
        </w:tc>
      </w:tr>
      <w:tr w:rsidR="00E0066F" w:rsidTr="00345119">
        <w:tc>
          <w:tcPr>
            <w:tcW w:w="9576" w:type="dxa"/>
          </w:tcPr>
          <w:p w:rsidR="008423E4" w:rsidRPr="00A8133F" w:rsidRDefault="009B2A53" w:rsidP="008048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2A53" w:rsidP="0080485E"/>
          <w:p w:rsidR="006877F1" w:rsidRDefault="009B2A53" w:rsidP="0080485E">
            <w:pPr>
              <w:pStyle w:val="Header"/>
              <w:jc w:val="both"/>
            </w:pPr>
            <w:r>
              <w:t xml:space="preserve">S.B. 560 amends the </w:t>
            </w:r>
            <w:r w:rsidRPr="007C7232">
              <w:t>Government Code</w:t>
            </w:r>
            <w:r>
              <w:t xml:space="preserve"> to require the </w:t>
            </w:r>
            <w:r w:rsidRPr="007C7232">
              <w:t>Texas Judicial Council</w:t>
            </w:r>
            <w:r>
              <w:t xml:space="preserve"> </w:t>
            </w:r>
            <w:r>
              <w:t xml:space="preserve">(TJC) </w:t>
            </w:r>
            <w:r>
              <w:t xml:space="preserve">to </w:t>
            </w:r>
            <w:r w:rsidRPr="007C7232">
              <w:t xml:space="preserve">develop a statewide plan requiring counties and courts in </w:t>
            </w:r>
            <w:r>
              <w:t>Texas</w:t>
            </w:r>
            <w:r w:rsidRPr="007C7232">
              <w:t xml:space="preserve"> to report information on court-ordered representation for appointments made in suits</w:t>
            </w:r>
            <w:r>
              <w:t xml:space="preserve"> filed by a governmental entity</w:t>
            </w:r>
            <w:r w:rsidRPr="007C7232">
              <w:t xml:space="preserve"> affecting the parent-child relationship</w:t>
            </w:r>
            <w:r>
              <w:t xml:space="preserve"> under </w:t>
            </w:r>
            <w:r>
              <w:t>the Family Code</w:t>
            </w:r>
            <w:r>
              <w:t xml:space="preserve">. The bill requires the </w:t>
            </w:r>
            <w:r>
              <w:t xml:space="preserve">TJC, in developing the plan, to </w:t>
            </w:r>
            <w:r w:rsidRPr="005F2A61">
              <w:t xml:space="preserve">consider the costs to </w:t>
            </w:r>
            <w:r w:rsidRPr="005F2A61">
              <w:t>counties of implementing the plan and design the plan to reduce redundant reporting.</w:t>
            </w:r>
            <w:r>
              <w:t xml:space="preserve"> The bill requires each </w:t>
            </w:r>
            <w:r w:rsidRPr="005F2A61">
              <w:t>local administrative district judge for a court subject to the plan, or the person designated by the judge,</w:t>
            </w:r>
            <w:r>
              <w:t xml:space="preserve"> </w:t>
            </w:r>
            <w:r>
              <w:t xml:space="preserve">to prepare and provide the following to </w:t>
            </w:r>
            <w:r>
              <w:t xml:space="preserve">TJC </w:t>
            </w:r>
            <w:r>
              <w:t xml:space="preserve">not </w:t>
            </w:r>
            <w:r w:rsidRPr="005F2A61">
              <w:t>later than November 1 of each odd-numbered year and in the form and manner prescribed in the plan</w:t>
            </w:r>
            <w:r>
              <w:t xml:space="preserve">: </w:t>
            </w:r>
          </w:p>
          <w:p w:rsidR="006877F1" w:rsidRDefault="009B2A53" w:rsidP="0080485E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copy of all formal and informal rules and forms the court uses to appoint representation in applicable suits affecting the parent-child relationsh</w:t>
            </w:r>
            <w:r>
              <w:t xml:space="preserve">ip; and </w:t>
            </w:r>
          </w:p>
          <w:p w:rsidR="006877F1" w:rsidRDefault="009B2A53" w:rsidP="0080485E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any fee schedule the court uses for court-ordered representation. </w:t>
            </w:r>
          </w:p>
          <w:p w:rsidR="006877F1" w:rsidRDefault="009B2A53" w:rsidP="0080485E">
            <w:pPr>
              <w:pStyle w:val="Header"/>
              <w:jc w:val="both"/>
            </w:pPr>
          </w:p>
          <w:p w:rsidR="00A0479D" w:rsidRDefault="009B2A53" w:rsidP="0080485E">
            <w:pPr>
              <w:pStyle w:val="Header"/>
              <w:jc w:val="both"/>
            </w:pPr>
            <w:r>
              <w:t>S.B. 560</w:t>
            </w:r>
            <w:r>
              <w:t xml:space="preserve"> requires each </w:t>
            </w:r>
            <w:r w:rsidRPr="005F2A61">
              <w:t xml:space="preserve">county auditor, or other individual designated by </w:t>
            </w:r>
            <w:r>
              <w:t xml:space="preserve">a county </w:t>
            </w:r>
            <w:r w:rsidRPr="005F2A61">
              <w:t>commissioners court,</w:t>
            </w:r>
            <w:r>
              <w:t xml:space="preserve"> to </w:t>
            </w:r>
            <w:r w:rsidRPr="005F2A61">
              <w:t xml:space="preserve">prepare and send to the </w:t>
            </w:r>
            <w:r>
              <w:t>TJC</w:t>
            </w:r>
            <w:r w:rsidRPr="005F2A61">
              <w:t>, in the form and manner prescribed in the pla</w:t>
            </w:r>
            <w:r w:rsidRPr="005F2A61">
              <w:t xml:space="preserve">n, information on the money spent by the county during the preceding state fiscal year to provide court-ordered representation in </w:t>
            </w:r>
            <w:r>
              <w:t xml:space="preserve">applicable </w:t>
            </w:r>
            <w:r w:rsidRPr="005F2A61">
              <w:t>suits affecting the parent-child relationship</w:t>
            </w:r>
            <w:r>
              <w:t xml:space="preserve"> and</w:t>
            </w:r>
            <w:r>
              <w:t xml:space="preserve"> sets out </w:t>
            </w:r>
            <w:r>
              <w:t xml:space="preserve">the </w:t>
            </w:r>
            <w:r>
              <w:t xml:space="preserve">required </w:t>
            </w:r>
            <w:r>
              <w:t>components of</w:t>
            </w:r>
            <w:r>
              <w:t xml:space="preserve"> </w:t>
            </w:r>
            <w:r>
              <w:t xml:space="preserve">that </w:t>
            </w:r>
            <w:r>
              <w:t>information. The bill re</w:t>
            </w:r>
            <w:r>
              <w:t xml:space="preserve">quires each </w:t>
            </w:r>
            <w:r w:rsidRPr="005F2A61">
              <w:t xml:space="preserve">local administrative district judge for a court subject to the plan, or the person designated by the judge, and each county auditor, or other individual designated by </w:t>
            </w:r>
            <w:r>
              <w:t>a county</w:t>
            </w:r>
            <w:r w:rsidRPr="005F2A61">
              <w:t xml:space="preserve"> </w:t>
            </w:r>
            <w:r w:rsidRPr="005F2A61">
              <w:t>commissioners court,</w:t>
            </w:r>
            <w:r>
              <w:t xml:space="preserve"> to </w:t>
            </w:r>
            <w:r w:rsidRPr="005F2A61">
              <w:t xml:space="preserve">provide to the </w:t>
            </w:r>
            <w:r>
              <w:t>TJC</w:t>
            </w:r>
            <w:r w:rsidRPr="005F2A61">
              <w:t xml:space="preserve"> the information required </w:t>
            </w:r>
            <w:r w:rsidRPr="005F2A61">
              <w:t>under the plan</w:t>
            </w:r>
            <w:r>
              <w:t xml:space="preserve"> and the bill's provisions. The bill requires the TJC</w:t>
            </w:r>
            <w:r>
              <w:t xml:space="preserve"> to</w:t>
            </w:r>
            <w:r>
              <w:t xml:space="preserve"> </w:t>
            </w:r>
            <w:r>
              <w:t>do the following</w:t>
            </w:r>
            <w:r>
              <w:t xml:space="preserve"> annually</w:t>
            </w:r>
            <w:r>
              <w:t>:</w:t>
            </w:r>
          </w:p>
          <w:p w:rsidR="00A0479D" w:rsidRDefault="009B2A53" w:rsidP="0080485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compile in a report the information submitted to the </w:t>
            </w:r>
            <w:r>
              <w:t>TJC</w:t>
            </w:r>
            <w:r>
              <w:t xml:space="preserve"> under the plan and </w:t>
            </w:r>
            <w:r>
              <w:t xml:space="preserve">the bill's provisions; </w:t>
            </w:r>
          </w:p>
          <w:p w:rsidR="00A0479D" w:rsidRDefault="009B2A53" w:rsidP="0080485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submit the report to the governor, lieutenant governor, </w:t>
            </w:r>
            <w:r>
              <w:t>and speaker of the house of representatives; and</w:t>
            </w:r>
            <w:r>
              <w:t xml:space="preserve"> </w:t>
            </w:r>
          </w:p>
          <w:p w:rsidR="00A0479D" w:rsidRDefault="009B2A53" w:rsidP="0080485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electronically</w:t>
            </w:r>
            <w:r>
              <w:t xml:space="preserve"> publish the report</w:t>
            </w:r>
            <w:r>
              <w:t xml:space="preserve">. </w:t>
            </w:r>
          </w:p>
          <w:p w:rsidR="00A0479D" w:rsidRDefault="009B2A53" w:rsidP="0080485E">
            <w:pPr>
              <w:pStyle w:val="Header"/>
              <w:jc w:val="both"/>
            </w:pPr>
          </w:p>
          <w:p w:rsidR="005F2A61" w:rsidRDefault="009B2A53" w:rsidP="0080485E">
            <w:pPr>
              <w:pStyle w:val="Header"/>
              <w:jc w:val="both"/>
            </w:pPr>
            <w:r>
              <w:t xml:space="preserve">S.B. 560 requires </w:t>
            </w:r>
            <w:r w:rsidRPr="00A0479D">
              <w:t xml:space="preserve">the </w:t>
            </w:r>
            <w:r>
              <w:t>TJC</w:t>
            </w:r>
            <w:r w:rsidRPr="00A0479D">
              <w:t xml:space="preserve"> </w:t>
            </w:r>
            <w:r>
              <w:t>to</w:t>
            </w:r>
            <w:r w:rsidRPr="00A0479D">
              <w:t xml:space="preserve"> develop the plan</w:t>
            </w:r>
            <w:r>
              <w:t xml:space="preserve"> a</w:t>
            </w:r>
            <w:r w:rsidRPr="00A0479D">
              <w:t>s soon as practicable after the</w:t>
            </w:r>
            <w:r>
              <w:t xml:space="preserve"> bill's</w:t>
            </w:r>
            <w:r w:rsidRPr="00A0479D">
              <w:t xml:space="preserve"> effective date</w:t>
            </w:r>
            <w:r>
              <w:t xml:space="preserve"> but </w:t>
            </w:r>
            <w:r>
              <w:t>does not require a county or court in Texas to comply with the b</w:t>
            </w:r>
            <w:r>
              <w:t xml:space="preserve">ill's provisions until </w:t>
            </w:r>
            <w:r w:rsidRPr="00D15CE6">
              <w:t>September 1, 2020, or a later date provided in the plan</w:t>
            </w:r>
            <w:r>
              <w:t xml:space="preserve">. </w:t>
            </w:r>
            <w:r w:rsidRPr="009B0B92">
              <w:t>The</w:t>
            </w:r>
            <w:r>
              <w:t xml:space="preserve"> bill establishes that</w:t>
            </w:r>
            <w:r w:rsidRPr="009B0B92">
              <w:t xml:space="preserve"> </w:t>
            </w:r>
            <w:r>
              <w:t xml:space="preserve">the </w:t>
            </w:r>
            <w:r>
              <w:t>TJC</w:t>
            </w:r>
            <w:r w:rsidRPr="009B0B92">
              <w:t xml:space="preserve"> is required to implement a provision of </w:t>
            </w:r>
            <w:r>
              <w:t>the bill</w:t>
            </w:r>
            <w:r w:rsidRPr="009B0B92">
              <w:t xml:space="preserve"> only if the legislature appropriates money specifically for that purpose</w:t>
            </w:r>
            <w:r>
              <w:t xml:space="preserve"> and if not,</w:t>
            </w:r>
            <w:r w:rsidRPr="009B0B92">
              <w:t xml:space="preserve"> </w:t>
            </w:r>
            <w:r>
              <w:t>that</w:t>
            </w:r>
            <w:r w:rsidRPr="009B0B92">
              <w:t xml:space="preserve"> the</w:t>
            </w:r>
            <w:r w:rsidRPr="009B0B92">
              <w:t xml:space="preserve"> </w:t>
            </w:r>
            <w:r>
              <w:t>TJC</w:t>
            </w:r>
            <w:r w:rsidRPr="009B0B92">
              <w:t xml:space="preserve"> may, but is not required to, implement </w:t>
            </w:r>
            <w:r>
              <w:t xml:space="preserve">such </w:t>
            </w:r>
            <w:r w:rsidRPr="009B0B92">
              <w:t>a provision using other appropriations available for that purpose.</w:t>
            </w:r>
          </w:p>
          <w:p w:rsidR="008423E4" w:rsidRPr="00835628" w:rsidRDefault="009B2A53" w:rsidP="0080485E">
            <w:pPr>
              <w:rPr>
                <w:b/>
              </w:rPr>
            </w:pPr>
          </w:p>
        </w:tc>
      </w:tr>
      <w:tr w:rsidR="00E0066F" w:rsidTr="00345119">
        <w:tc>
          <w:tcPr>
            <w:tcW w:w="9576" w:type="dxa"/>
          </w:tcPr>
          <w:p w:rsidR="008423E4" w:rsidRPr="00A8133F" w:rsidRDefault="009B2A53" w:rsidP="008048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2A53" w:rsidP="0080485E"/>
          <w:p w:rsidR="008423E4" w:rsidRPr="003624F2" w:rsidRDefault="009B2A53" w:rsidP="008048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649F9">
              <w:t>September 1, 2019.</w:t>
            </w:r>
          </w:p>
          <w:p w:rsidR="008423E4" w:rsidRPr="00233FDB" w:rsidRDefault="009B2A53" w:rsidP="0080485E">
            <w:pPr>
              <w:rPr>
                <w:b/>
              </w:rPr>
            </w:pPr>
          </w:p>
        </w:tc>
      </w:tr>
    </w:tbl>
    <w:p w:rsidR="008423E4" w:rsidRPr="00BE0E75" w:rsidRDefault="009B2A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2A5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2A53">
      <w:r>
        <w:separator/>
      </w:r>
    </w:p>
  </w:endnote>
  <w:endnote w:type="continuationSeparator" w:id="0">
    <w:p w:rsidR="00000000" w:rsidRDefault="009B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066F" w:rsidTr="009C1E9A">
      <w:trPr>
        <w:cantSplit/>
      </w:trPr>
      <w:tc>
        <w:tcPr>
          <w:tcW w:w="0" w:type="pct"/>
        </w:tcPr>
        <w:p w:rsidR="00137D90" w:rsidRDefault="009B2A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2A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2A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2A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2A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66F" w:rsidTr="009C1E9A">
      <w:trPr>
        <w:cantSplit/>
      </w:trPr>
      <w:tc>
        <w:tcPr>
          <w:tcW w:w="0" w:type="pct"/>
        </w:tcPr>
        <w:p w:rsidR="00EC379B" w:rsidRDefault="009B2A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2A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33461</w:t>
          </w:r>
        </w:p>
      </w:tc>
      <w:tc>
        <w:tcPr>
          <w:tcW w:w="2453" w:type="pct"/>
        </w:tcPr>
        <w:p w:rsidR="00EC379B" w:rsidRDefault="009B2A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19.130.791</w:t>
          </w:r>
          <w:r>
            <w:fldChar w:fldCharType="end"/>
          </w:r>
        </w:p>
      </w:tc>
    </w:tr>
    <w:tr w:rsidR="00E0066F" w:rsidTr="009C1E9A">
      <w:trPr>
        <w:cantSplit/>
      </w:trPr>
      <w:tc>
        <w:tcPr>
          <w:tcW w:w="0" w:type="pct"/>
        </w:tcPr>
        <w:p w:rsidR="00EC379B" w:rsidRDefault="009B2A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2A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2A53" w:rsidP="006D504F">
          <w:pPr>
            <w:pStyle w:val="Footer"/>
            <w:rPr>
              <w:rStyle w:val="PageNumber"/>
            </w:rPr>
          </w:pPr>
        </w:p>
        <w:p w:rsidR="00EC379B" w:rsidRDefault="009B2A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6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2A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2A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2A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2A53">
      <w:r>
        <w:separator/>
      </w:r>
    </w:p>
  </w:footnote>
  <w:footnote w:type="continuationSeparator" w:id="0">
    <w:p w:rsidR="00000000" w:rsidRDefault="009B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F23"/>
    <w:multiLevelType w:val="hybridMultilevel"/>
    <w:tmpl w:val="1B1668EA"/>
    <w:lvl w:ilvl="0" w:tplc="C05C0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F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0B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23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06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AA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E1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0F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B4D"/>
    <w:multiLevelType w:val="hybridMultilevel"/>
    <w:tmpl w:val="89E82EDA"/>
    <w:lvl w:ilvl="0" w:tplc="2D6E5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6A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48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C4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0E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04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2D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CD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C4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6F"/>
    <w:rsid w:val="009B2A53"/>
    <w:rsid w:val="00E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D9BE8-68BF-4D35-B9BD-DDB60F1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5C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5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5C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3217</Characters>
  <Application>Microsoft Office Word</Application>
  <DocSecurity>4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SB00560 (Committee Report (Unamended))</vt:lpstr>
    </vt:vector>
  </TitlesOfParts>
  <Company>State of Texas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33461</dc:subject>
  <dc:creator>State of Texas</dc:creator>
  <dc:description>SB 560 by Kolkhorst-(H)Judiciary &amp; Civil Jurisprudence</dc:description>
  <cp:lastModifiedBy>Laura Ramsay</cp:lastModifiedBy>
  <cp:revision>2</cp:revision>
  <cp:lastPrinted>2003-11-26T17:21:00Z</cp:lastPrinted>
  <dcterms:created xsi:type="dcterms:W3CDTF">2019-05-14T18:53:00Z</dcterms:created>
  <dcterms:modified xsi:type="dcterms:W3CDTF">2019-05-14T18:53:00Z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19.130.791</vt:lpwstr>
  </property>
</Properties>
</file>