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B212F" w:rsidTr="00345119">
        <w:tc>
          <w:tcPr>
            <w:tcW w:w="9576" w:type="dxa"/>
            <w:noWrap/>
          </w:tcPr>
          <w:p w:rsidR="008423E4" w:rsidRPr="0022177D" w:rsidRDefault="001009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09D7" w:rsidP="008423E4">
      <w:pPr>
        <w:jc w:val="center"/>
      </w:pPr>
    </w:p>
    <w:p w:rsidR="008423E4" w:rsidRPr="00B31F0E" w:rsidRDefault="001009D7" w:rsidP="008423E4"/>
    <w:p w:rsidR="008423E4" w:rsidRPr="00742794" w:rsidRDefault="001009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212F" w:rsidTr="00345119">
        <w:tc>
          <w:tcPr>
            <w:tcW w:w="9576" w:type="dxa"/>
          </w:tcPr>
          <w:p w:rsidR="008423E4" w:rsidRPr="00861995" w:rsidRDefault="001009D7" w:rsidP="00345119">
            <w:pPr>
              <w:jc w:val="right"/>
            </w:pPr>
            <w:r>
              <w:t>C.S.S.B. 562</w:t>
            </w:r>
          </w:p>
        </w:tc>
      </w:tr>
      <w:tr w:rsidR="007B212F" w:rsidTr="00345119">
        <w:tc>
          <w:tcPr>
            <w:tcW w:w="9576" w:type="dxa"/>
          </w:tcPr>
          <w:p w:rsidR="008423E4" w:rsidRPr="00861995" w:rsidRDefault="001009D7" w:rsidP="005649B7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7B212F" w:rsidTr="00345119">
        <w:tc>
          <w:tcPr>
            <w:tcW w:w="9576" w:type="dxa"/>
          </w:tcPr>
          <w:p w:rsidR="008423E4" w:rsidRPr="00861995" w:rsidRDefault="001009D7" w:rsidP="00345119">
            <w:pPr>
              <w:jc w:val="right"/>
            </w:pPr>
            <w:r>
              <w:t>Criminal Jurisprudence</w:t>
            </w:r>
          </w:p>
        </w:tc>
      </w:tr>
      <w:tr w:rsidR="007B212F" w:rsidTr="00345119">
        <w:tc>
          <w:tcPr>
            <w:tcW w:w="9576" w:type="dxa"/>
          </w:tcPr>
          <w:p w:rsidR="008423E4" w:rsidRDefault="001009D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009D7" w:rsidP="008423E4">
      <w:pPr>
        <w:tabs>
          <w:tab w:val="right" w:pos="9360"/>
        </w:tabs>
      </w:pPr>
    </w:p>
    <w:p w:rsidR="008423E4" w:rsidRDefault="001009D7" w:rsidP="008423E4"/>
    <w:p w:rsidR="008423E4" w:rsidRDefault="001009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B212F" w:rsidTr="00663213">
        <w:tc>
          <w:tcPr>
            <w:tcW w:w="9360" w:type="dxa"/>
          </w:tcPr>
          <w:p w:rsidR="008423E4" w:rsidRPr="00A8133F" w:rsidRDefault="001009D7" w:rsidP="00C40F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09D7" w:rsidP="00C40F1C"/>
          <w:p w:rsidR="008423E4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Individuals </w:t>
            </w:r>
            <w:r>
              <w:t xml:space="preserve">with mental illness </w:t>
            </w:r>
            <w:r>
              <w:t xml:space="preserve">or intellectual disabilities </w:t>
            </w:r>
            <w:r>
              <w:t xml:space="preserve">who are charged with violent or sexual offenses </w:t>
            </w:r>
            <w:r>
              <w:t xml:space="preserve">and </w:t>
            </w:r>
            <w:r>
              <w:t xml:space="preserve">are </w:t>
            </w:r>
            <w:r>
              <w:t xml:space="preserve">found </w:t>
            </w:r>
            <w:r>
              <w:t>incompetent to stand trial or are acquitted by reason of insanity</w:t>
            </w:r>
            <w:r>
              <w:t xml:space="preserve"> wait for prolonged periods of time in county jails without adequate mental health treatment until they</w:t>
            </w:r>
            <w:r>
              <w:t xml:space="preserve"> are sent to maximum security units </w:t>
            </w:r>
            <w:r>
              <w:t xml:space="preserve">and then assessed </w:t>
            </w:r>
            <w:r>
              <w:t>to determine whether the unit is a</w:t>
            </w:r>
            <w:r>
              <w:t>n appropriate setting</w:t>
            </w:r>
            <w:r>
              <w:t xml:space="preserve"> for</w:t>
            </w:r>
            <w:r>
              <w:t xml:space="preserve"> competency restoration for</w:t>
            </w:r>
            <w:r>
              <w:t xml:space="preserve"> them</w:t>
            </w:r>
            <w:r>
              <w:t>. Concerns have been raised that</w:t>
            </w:r>
            <w:r>
              <w:t xml:space="preserve"> these initial placements, in addition to being inefficient and unnecessary for individuals for whom it is determined that maximum security placement is not appropriat</w:t>
            </w:r>
            <w:r>
              <w:t>e,</w:t>
            </w:r>
            <w:r>
              <w:t xml:space="preserve"> may be detrimental to </w:t>
            </w:r>
            <w:r>
              <w:t xml:space="preserve">these individuals' </w:t>
            </w:r>
            <w:r>
              <w:t>mental h</w:t>
            </w:r>
            <w:r>
              <w:t>ealth. C.S.S.B.</w:t>
            </w:r>
            <w:r>
              <w:t> </w:t>
            </w:r>
            <w:r>
              <w:t xml:space="preserve">562 seeks to address these issues by </w:t>
            </w:r>
            <w:r>
              <w:t xml:space="preserve">revising the criminal and juvenile procedures regarding persons who are or may be persons with mental illness or intellectual disability, including </w:t>
            </w:r>
            <w:r>
              <w:t xml:space="preserve">by </w:t>
            </w:r>
            <w:r>
              <w:t>ensuring that the adequate location for a defendant required to receive competency restoration is determined at the outset, rather than waiting for the defendant to be sent to a</w:t>
            </w:r>
            <w:r>
              <w:t xml:space="preserve"> maximum security unit</w:t>
            </w:r>
            <w:r>
              <w:t xml:space="preserve"> first before determining the adequate treatment setting</w:t>
            </w:r>
            <w:r>
              <w:t>.</w:t>
            </w:r>
          </w:p>
          <w:p w:rsidR="00C40F1C" w:rsidRPr="00E26B13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B212F" w:rsidTr="00663213">
        <w:tc>
          <w:tcPr>
            <w:tcW w:w="9360" w:type="dxa"/>
          </w:tcPr>
          <w:p w:rsidR="0017725B" w:rsidRDefault="001009D7" w:rsidP="00C40F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09D7" w:rsidP="00C40F1C">
            <w:pPr>
              <w:rPr>
                <w:b/>
                <w:u w:val="single"/>
              </w:rPr>
            </w:pPr>
          </w:p>
          <w:p w:rsidR="00D4571E" w:rsidRPr="00D4571E" w:rsidRDefault="001009D7" w:rsidP="00C40F1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:rsidR="0017725B" w:rsidRPr="0017725B" w:rsidRDefault="001009D7" w:rsidP="00C40F1C">
            <w:pPr>
              <w:rPr>
                <w:b/>
                <w:u w:val="single"/>
              </w:rPr>
            </w:pPr>
          </w:p>
        </w:tc>
      </w:tr>
      <w:tr w:rsidR="007B212F" w:rsidTr="00663213">
        <w:tc>
          <w:tcPr>
            <w:tcW w:w="9360" w:type="dxa"/>
          </w:tcPr>
          <w:p w:rsidR="008423E4" w:rsidRPr="00A8133F" w:rsidRDefault="001009D7" w:rsidP="00C40F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09D7" w:rsidP="00C40F1C"/>
          <w:p w:rsidR="00A05BAF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009D7" w:rsidP="00C40F1C">
            <w:pPr>
              <w:rPr>
                <w:b/>
              </w:rPr>
            </w:pPr>
          </w:p>
        </w:tc>
      </w:tr>
      <w:tr w:rsidR="007B212F" w:rsidTr="00663213">
        <w:tc>
          <w:tcPr>
            <w:tcW w:w="9360" w:type="dxa"/>
          </w:tcPr>
          <w:p w:rsidR="008423E4" w:rsidRPr="00A8133F" w:rsidRDefault="001009D7" w:rsidP="00C40F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09D7" w:rsidP="00C40F1C"/>
          <w:p w:rsidR="002756D9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562 amends the Code of Criminal Procedure to </w:t>
            </w:r>
            <w:r>
              <w:t>require a county that transfers a defendant to the Texas Department of Criminal Justice (TDCJ) to deliver to a TDCJ</w:t>
            </w:r>
            <w:r>
              <w:noBreakHyphen/>
              <w:t xml:space="preserve">designated officer </w:t>
            </w:r>
            <w:r>
              <w:t>a copy of any mental health records, mental health screening reports, o</w:t>
            </w:r>
            <w:r>
              <w:t>r similar information regarding the mental health of a defendant</w:t>
            </w:r>
            <w:r>
              <w:t xml:space="preserve">. </w:t>
            </w:r>
          </w:p>
          <w:p w:rsidR="002756D9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67741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562</w:t>
            </w:r>
            <w:r>
              <w:t xml:space="preserve"> </w:t>
            </w:r>
            <w:r>
              <w:t xml:space="preserve">limits the facilities for which </w:t>
            </w:r>
            <w:r>
              <w:t xml:space="preserve">the Health and Human Services Commission (HHSC) </w:t>
            </w:r>
            <w:r>
              <w:t xml:space="preserve">may </w:t>
            </w:r>
            <w:r>
              <w:t xml:space="preserve">designate </w:t>
            </w:r>
            <w:r>
              <w:t xml:space="preserve">the commitment of a defendant who is incompetent to stand trial to </w:t>
            </w:r>
            <w:r>
              <w:t>facilit</w:t>
            </w:r>
            <w:r>
              <w:t>ies</w:t>
            </w:r>
            <w:r>
              <w:t xml:space="preserve"> ope</w:t>
            </w:r>
            <w:r>
              <w:t xml:space="preserve">rated by HHSC or under a contract with HHSC for </w:t>
            </w:r>
            <w:r>
              <w:t>such purpose</w:t>
            </w:r>
            <w:r>
              <w:t xml:space="preserve">. </w:t>
            </w:r>
            <w:r>
              <w:t xml:space="preserve">The bill </w:t>
            </w:r>
            <w:r>
              <w:t xml:space="preserve">revises the requirement for the civil commitment of a defendant who is incompetent to stand trial and charged with a violent offense other than for assault involving certain conduct or </w:t>
            </w:r>
            <w:r>
              <w:t>for whom the indictment charging the offense contains an affirmative finding that the offense involved the use or exhibition of</w:t>
            </w:r>
            <w:r>
              <w:t xml:space="preserve"> a</w:t>
            </w:r>
            <w:r>
              <w:t xml:space="preserve"> deadly weapon to a maximum security unit of certain facilities as follows:</w:t>
            </w:r>
          </w:p>
          <w:p w:rsidR="00767741" w:rsidRDefault="001009D7" w:rsidP="00C40F1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by removing the exception to the requirement for a </w:t>
            </w:r>
            <w:r>
              <w:t xml:space="preserve">defendant who is charged with assault involving certain conduct; and </w:t>
            </w:r>
          </w:p>
          <w:p w:rsidR="008423E4" w:rsidRDefault="001009D7" w:rsidP="00C40F1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by removing the condition that the commitment must be to a maximum security unit. </w:t>
            </w:r>
            <w:r>
              <w:t xml:space="preserve"> </w:t>
            </w:r>
          </w:p>
          <w:p w:rsidR="00B25B11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66BDB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562 authorizes </w:t>
            </w:r>
            <w:r>
              <w:t xml:space="preserve">the assessment of </w:t>
            </w:r>
            <w:r>
              <w:t>a defendant committed to a maximum security unit by HHSC, a</w:t>
            </w:r>
            <w:r>
              <w:t xml:space="preserve">t any time before the defendant is restored to competency, by the review board appointed by the </w:t>
            </w:r>
            <w:r>
              <w:t xml:space="preserve">executive </w:t>
            </w:r>
            <w:r>
              <w:t xml:space="preserve">commissioner of </w:t>
            </w:r>
            <w:r>
              <w:t>HHSC</w:t>
            </w:r>
            <w:r>
              <w:t xml:space="preserve"> to determine whether the defendant is manifestly dangerous. </w:t>
            </w:r>
            <w:r>
              <w:t>I</w:t>
            </w:r>
            <w:r>
              <w:t>f the review board determines the defendant is not manifestly danger</w:t>
            </w:r>
            <w:r>
              <w:t>ous,</w:t>
            </w:r>
            <w:r>
              <w:t xml:space="preserve"> HHSC is required</w:t>
            </w:r>
            <w:r>
              <w:t xml:space="preserve"> to transfer the defendant to a non</w:t>
            </w:r>
            <w:r>
              <w:t>-maximum security</w:t>
            </w:r>
            <w:r>
              <w:t xml:space="preserve"> facility designated by HHSC. The bill </w:t>
            </w:r>
            <w:r>
              <w:t>requires a committing court, on receiving notice from the head of a facility or outpatient treatment provider of intent to release a committed d</w:t>
            </w:r>
            <w:r>
              <w:t>efendant, to hold a hearing to determine whether release is appropriate</w:t>
            </w:r>
            <w:r>
              <w:t xml:space="preserve"> under certain criteria and specifies that</w:t>
            </w:r>
            <w:r>
              <w:t xml:space="preserve"> </w:t>
            </w:r>
            <w:r>
              <w:t>the</w:t>
            </w:r>
            <w:r>
              <w:t xml:space="preserve"> court may hold the hearing on motion of the attorney representing the state or on its own motion</w:t>
            </w:r>
            <w:r>
              <w:t>,</w:t>
            </w:r>
            <w:r>
              <w:t xml:space="preserve"> regardless of whether the court receives such a notice of intent to release the defendant</w:t>
            </w:r>
            <w:r>
              <w:t>.</w:t>
            </w:r>
            <w:r>
              <w:t xml:space="preserve"> </w:t>
            </w:r>
          </w:p>
          <w:p w:rsidR="00E66BDB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25B11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562 </w:t>
            </w:r>
            <w:r>
              <w:t xml:space="preserve">limits the facilities which HHSC may designate </w:t>
            </w:r>
            <w:r>
              <w:t xml:space="preserve">for </w:t>
            </w:r>
            <w:r>
              <w:t>the commitment of a defendant who is acquitted by reason of insanity to facilities operated by HHS</w:t>
            </w:r>
            <w:r>
              <w:t>C or under a contract with HHSC for such purpose.</w:t>
            </w:r>
            <w:r>
              <w:t xml:space="preserve"> The bill revises the requirement for </w:t>
            </w:r>
            <w:r>
              <w:t xml:space="preserve">a person who is committed under statutory provisions relating to disposition </w:t>
            </w:r>
            <w:r>
              <w:t xml:space="preserve">of a defendant </w:t>
            </w:r>
            <w:r>
              <w:t xml:space="preserve">following acquittal by </w:t>
            </w:r>
            <w:r>
              <w:t>reason of insanity to be committed to a maximum securi</w:t>
            </w:r>
            <w:r>
              <w:t xml:space="preserve">ty unit of certain facilities by removing the condition that </w:t>
            </w:r>
            <w:r>
              <w:t xml:space="preserve">the </w:t>
            </w:r>
            <w:r>
              <w:t xml:space="preserve">commitment must be to a maximum security unit. </w:t>
            </w:r>
          </w:p>
          <w:p w:rsidR="005977D3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30392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562 amends the Health and Safety Code to </w:t>
            </w:r>
            <w:r>
              <w:t>revise</w:t>
            </w:r>
            <w:r>
              <w:t xml:space="preserve"> the definition of "forensic patient</w:t>
            </w:r>
            <w:r>
              <w:t>,</w:t>
            </w:r>
            <w:r>
              <w:t xml:space="preserve">" for purposes of </w:t>
            </w:r>
            <w:r>
              <w:t>statutory provisions setting ou</w:t>
            </w:r>
            <w:r>
              <w:t xml:space="preserve">t the </w:t>
            </w:r>
            <w:r>
              <w:t>duties of the forensic director</w:t>
            </w:r>
            <w:r>
              <w:t>, by:</w:t>
            </w:r>
          </w:p>
          <w:p w:rsidR="00230392" w:rsidRDefault="001009D7" w:rsidP="00C40F1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adding a person with an intellectual disability to the definition; and</w:t>
            </w:r>
          </w:p>
          <w:p w:rsidR="005977D3" w:rsidRDefault="001009D7" w:rsidP="00C40F1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adding to the definition the specification that such a patient is a person </w:t>
            </w:r>
            <w:r>
              <w:t xml:space="preserve">with a mental illness </w:t>
            </w:r>
            <w:r>
              <w:t xml:space="preserve">or a person with an intellectual disability </w:t>
            </w:r>
            <w:r>
              <w:t>who is examined on the issue of fitness to proceed with juvenile court proceedings by an applicable expert or</w:t>
            </w:r>
            <w:r>
              <w:t xml:space="preserve"> who</w:t>
            </w:r>
            <w:r>
              <w:t xml:space="preserve"> is found unfit to proceed with juvenile proceedings for delinquent conduct or conduct indicating a need for supervision</w:t>
            </w:r>
            <w:r>
              <w:t>.</w:t>
            </w:r>
            <w:r>
              <w:t xml:space="preserve">                 </w:t>
            </w:r>
          </w:p>
          <w:p w:rsidR="008423E4" w:rsidRPr="00835628" w:rsidRDefault="001009D7" w:rsidP="00C40F1C">
            <w:pPr>
              <w:rPr>
                <w:b/>
              </w:rPr>
            </w:pPr>
          </w:p>
        </w:tc>
      </w:tr>
      <w:tr w:rsidR="007B212F" w:rsidTr="00663213">
        <w:tc>
          <w:tcPr>
            <w:tcW w:w="9360" w:type="dxa"/>
          </w:tcPr>
          <w:p w:rsidR="008423E4" w:rsidRPr="00A8133F" w:rsidRDefault="001009D7" w:rsidP="00C40F1C">
            <w:pPr>
              <w:rPr>
                <w:b/>
              </w:rPr>
            </w:pPr>
            <w:r w:rsidRPr="009C1E9A">
              <w:rPr>
                <w:b/>
                <w:u w:val="single"/>
              </w:rPr>
              <w:t>EF</w:t>
            </w:r>
            <w:r w:rsidRPr="009C1E9A">
              <w:rPr>
                <w:b/>
                <w:u w:val="single"/>
              </w:rPr>
              <w:t>FECTIVE DATE</w:t>
            </w:r>
            <w:r>
              <w:rPr>
                <w:b/>
              </w:rPr>
              <w:t xml:space="preserve"> </w:t>
            </w:r>
          </w:p>
          <w:p w:rsidR="008423E4" w:rsidRDefault="001009D7" w:rsidP="00C40F1C"/>
          <w:p w:rsidR="008423E4" w:rsidRPr="003624F2" w:rsidRDefault="001009D7" w:rsidP="00C40F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009D7" w:rsidP="00C40F1C">
            <w:pPr>
              <w:rPr>
                <w:b/>
              </w:rPr>
            </w:pPr>
          </w:p>
        </w:tc>
      </w:tr>
      <w:tr w:rsidR="007B212F" w:rsidTr="00663213">
        <w:tc>
          <w:tcPr>
            <w:tcW w:w="9360" w:type="dxa"/>
          </w:tcPr>
          <w:p w:rsidR="005649B7" w:rsidRDefault="001009D7" w:rsidP="005649B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FF1C49" w:rsidRDefault="001009D7" w:rsidP="005649B7">
            <w:pPr>
              <w:jc w:val="both"/>
              <w:rPr>
                <w:b/>
                <w:u w:val="single"/>
              </w:rPr>
            </w:pPr>
          </w:p>
          <w:p w:rsidR="00663213" w:rsidRDefault="001009D7" w:rsidP="00663213">
            <w:pPr>
              <w:jc w:val="both"/>
            </w:pPr>
            <w:r>
              <w:t xml:space="preserve">While C.S.S.B. 562 may differ from the engrossed in minor or nonsubstantive ways, the following summarizes </w:t>
            </w:r>
            <w:r>
              <w:t>the substantial differences between the engrossed and committee substitute versions of the bill.</w:t>
            </w:r>
          </w:p>
          <w:p w:rsidR="00663213" w:rsidRDefault="001009D7" w:rsidP="00663213">
            <w:pPr>
              <w:jc w:val="both"/>
            </w:pPr>
          </w:p>
          <w:p w:rsidR="00663213" w:rsidRPr="005649B7" w:rsidRDefault="001009D7" w:rsidP="00663213">
            <w:pPr>
              <w:jc w:val="both"/>
              <w:rPr>
                <w:b/>
                <w:u w:val="single"/>
              </w:rPr>
            </w:pPr>
            <w:r>
              <w:t>The substitute includes provisions limiting the facilities for which HHSC may designate the commitment of certain defendants who are incompetent</w:t>
            </w:r>
            <w:r>
              <w:t xml:space="preserve"> to stand trial or of a defendant who is acquitted by reason of insanity to facilities operated by HHSC or under a contract with HHSC for such a purpose.</w:t>
            </w:r>
          </w:p>
        </w:tc>
      </w:tr>
    </w:tbl>
    <w:p w:rsidR="008423E4" w:rsidRPr="00BE0E75" w:rsidRDefault="001009D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009D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09D7">
      <w:r>
        <w:separator/>
      </w:r>
    </w:p>
  </w:endnote>
  <w:endnote w:type="continuationSeparator" w:id="0">
    <w:p w:rsidR="00000000" w:rsidRDefault="0010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0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212F" w:rsidTr="009C1E9A">
      <w:trPr>
        <w:cantSplit/>
      </w:trPr>
      <w:tc>
        <w:tcPr>
          <w:tcW w:w="0" w:type="pct"/>
        </w:tcPr>
        <w:p w:rsidR="00137D90" w:rsidRDefault="001009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09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09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09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09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212F" w:rsidTr="009C1E9A">
      <w:trPr>
        <w:cantSplit/>
      </w:trPr>
      <w:tc>
        <w:tcPr>
          <w:tcW w:w="0" w:type="pct"/>
        </w:tcPr>
        <w:p w:rsidR="00EC379B" w:rsidRDefault="001009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09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33759</w:t>
          </w:r>
        </w:p>
      </w:tc>
      <w:tc>
        <w:tcPr>
          <w:tcW w:w="2453" w:type="pct"/>
        </w:tcPr>
        <w:p w:rsidR="00EC379B" w:rsidRDefault="001009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19.133.540</w:t>
          </w:r>
          <w:r>
            <w:fldChar w:fldCharType="end"/>
          </w:r>
        </w:p>
      </w:tc>
    </w:tr>
    <w:tr w:rsidR="007B212F" w:rsidTr="009C1E9A">
      <w:trPr>
        <w:cantSplit/>
      </w:trPr>
      <w:tc>
        <w:tcPr>
          <w:tcW w:w="0" w:type="pct"/>
        </w:tcPr>
        <w:p w:rsidR="00EC379B" w:rsidRDefault="001009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09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31010</w:t>
          </w:r>
        </w:p>
      </w:tc>
      <w:tc>
        <w:tcPr>
          <w:tcW w:w="2453" w:type="pct"/>
        </w:tcPr>
        <w:p w:rsidR="00EC379B" w:rsidRDefault="001009D7" w:rsidP="006D504F">
          <w:pPr>
            <w:pStyle w:val="Footer"/>
            <w:rPr>
              <w:rStyle w:val="PageNumber"/>
            </w:rPr>
          </w:pPr>
        </w:p>
        <w:p w:rsidR="00EC379B" w:rsidRDefault="001009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212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09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009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09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09D7">
      <w:r>
        <w:separator/>
      </w:r>
    </w:p>
  </w:footnote>
  <w:footnote w:type="continuationSeparator" w:id="0">
    <w:p w:rsidR="00000000" w:rsidRDefault="0010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0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0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0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10BAE"/>
    <w:multiLevelType w:val="hybridMultilevel"/>
    <w:tmpl w:val="A504064A"/>
    <w:lvl w:ilvl="0" w:tplc="20CA2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4D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21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8C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E6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67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7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86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924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4F1C"/>
    <w:multiLevelType w:val="hybridMultilevel"/>
    <w:tmpl w:val="641E4DDC"/>
    <w:lvl w:ilvl="0" w:tplc="E610B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9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01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20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E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2D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68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83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24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2D50"/>
    <w:multiLevelType w:val="hybridMultilevel"/>
    <w:tmpl w:val="4C1054E8"/>
    <w:lvl w:ilvl="0" w:tplc="42B8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81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D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C1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6B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07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E0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E2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44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2F"/>
    <w:rsid w:val="001009D7"/>
    <w:rsid w:val="007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9E6599-C2E7-4F91-858C-B36A4F14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67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6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67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676E"/>
    <w:rPr>
      <w:b/>
      <w:bCs/>
    </w:rPr>
  </w:style>
  <w:style w:type="paragraph" w:styleId="Revision">
    <w:name w:val="Revision"/>
    <w:hidden/>
    <w:uiPriority w:val="99"/>
    <w:semiHidden/>
    <w:rsid w:val="00DF676E"/>
    <w:rPr>
      <w:sz w:val="24"/>
      <w:szCs w:val="24"/>
    </w:rPr>
  </w:style>
  <w:style w:type="character" w:styleId="Hyperlink">
    <w:name w:val="Hyperlink"/>
    <w:basedOn w:val="DefaultParagraphFont"/>
    <w:unhideWhenUsed/>
    <w:rsid w:val="00497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4778</Characters>
  <Application>Microsoft Office Word</Application>
  <DocSecurity>4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SB00562 (Committee Report (Substituted))</vt:lpstr>
    </vt:vector>
  </TitlesOfParts>
  <Company>State of Texas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33759</dc:subject>
  <dc:creator>State of Texas</dc:creator>
  <dc:description>SB 562 by Zaffirini-(H)Criminal Jurisprudence (Substitute Document Number: 86R 31010)</dc:description>
  <cp:lastModifiedBy>Laura Ramsay</cp:lastModifiedBy>
  <cp:revision>2</cp:revision>
  <cp:lastPrinted>2019-05-10T21:49:00Z</cp:lastPrinted>
  <dcterms:created xsi:type="dcterms:W3CDTF">2019-05-14T23:24:00Z</dcterms:created>
  <dcterms:modified xsi:type="dcterms:W3CDTF">2019-05-14T23:24:00Z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19.133.540</vt:lpwstr>
  </property>
</Properties>
</file>