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56260" w:rsidTr="00345119">
        <w:tc>
          <w:tcPr>
            <w:tcW w:w="9576" w:type="dxa"/>
            <w:noWrap/>
          </w:tcPr>
          <w:p w:rsidR="008423E4" w:rsidRPr="0022177D" w:rsidRDefault="00B91ED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91ED0" w:rsidP="008423E4">
      <w:pPr>
        <w:jc w:val="center"/>
      </w:pPr>
    </w:p>
    <w:p w:rsidR="008423E4" w:rsidRPr="00B31F0E" w:rsidRDefault="00B91ED0" w:rsidP="008423E4"/>
    <w:p w:rsidR="008423E4" w:rsidRPr="00742794" w:rsidRDefault="00B91ED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56260" w:rsidTr="00345119">
        <w:tc>
          <w:tcPr>
            <w:tcW w:w="9576" w:type="dxa"/>
          </w:tcPr>
          <w:p w:rsidR="008423E4" w:rsidRPr="00861995" w:rsidRDefault="00B91ED0" w:rsidP="00345119">
            <w:pPr>
              <w:jc w:val="right"/>
            </w:pPr>
            <w:r>
              <w:t>S.B. 563</w:t>
            </w:r>
          </w:p>
        </w:tc>
      </w:tr>
      <w:tr w:rsidR="00656260" w:rsidTr="00345119">
        <w:tc>
          <w:tcPr>
            <w:tcW w:w="9576" w:type="dxa"/>
          </w:tcPr>
          <w:p w:rsidR="008423E4" w:rsidRPr="00861995" w:rsidRDefault="00B91ED0" w:rsidP="00345119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656260" w:rsidTr="00345119">
        <w:tc>
          <w:tcPr>
            <w:tcW w:w="9576" w:type="dxa"/>
          </w:tcPr>
          <w:p w:rsidR="008423E4" w:rsidRPr="00861995" w:rsidRDefault="00B91ED0" w:rsidP="00345119">
            <w:pPr>
              <w:jc w:val="right"/>
            </w:pPr>
            <w:r>
              <w:t>Natural Resources</w:t>
            </w:r>
          </w:p>
        </w:tc>
      </w:tr>
      <w:tr w:rsidR="00656260" w:rsidTr="00345119">
        <w:tc>
          <w:tcPr>
            <w:tcW w:w="9576" w:type="dxa"/>
          </w:tcPr>
          <w:p w:rsidR="008423E4" w:rsidRDefault="00B91ED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91ED0" w:rsidP="008423E4">
      <w:pPr>
        <w:tabs>
          <w:tab w:val="right" w:pos="9360"/>
        </w:tabs>
      </w:pPr>
    </w:p>
    <w:p w:rsidR="008423E4" w:rsidRDefault="00B91ED0" w:rsidP="008423E4"/>
    <w:p w:rsidR="008423E4" w:rsidRDefault="00B91ED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56260" w:rsidTr="00345119">
        <w:tc>
          <w:tcPr>
            <w:tcW w:w="9576" w:type="dxa"/>
          </w:tcPr>
          <w:p w:rsidR="008423E4" w:rsidRPr="00A8133F" w:rsidRDefault="00B91ED0" w:rsidP="00D0014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91ED0" w:rsidP="00D0014E"/>
          <w:p w:rsidR="00142305" w:rsidRDefault="00B91ED0" w:rsidP="00D001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there is currently </w:t>
            </w:r>
            <w:r>
              <w:t xml:space="preserve">no centralized location for stakeholders and local entities to find information on federal </w:t>
            </w:r>
            <w:r>
              <w:t>funding available for flood control projects or mitigation.</w:t>
            </w:r>
            <w:r>
              <w:t xml:space="preserve"> </w:t>
            </w:r>
            <w:r>
              <w:t>S.B.</w:t>
            </w:r>
            <w:r>
              <w:t> </w:t>
            </w:r>
            <w:r>
              <w:t xml:space="preserve">563 </w:t>
            </w:r>
            <w:r>
              <w:t xml:space="preserve">seeks to provide such a resource by requiring </w:t>
            </w:r>
            <w:r>
              <w:t>state agencies</w:t>
            </w:r>
            <w:r>
              <w:t xml:space="preserve"> </w:t>
            </w:r>
            <w:r>
              <w:t xml:space="preserve">receiving or disbursing </w:t>
            </w:r>
            <w:r>
              <w:t xml:space="preserve">relevant </w:t>
            </w:r>
            <w:r>
              <w:t>federal funds</w:t>
            </w:r>
            <w:r>
              <w:t xml:space="preserve"> to make a quarterly report on that funding to the Texas Water Development Board</w:t>
            </w:r>
            <w:r>
              <w:t xml:space="preserve"> (TWDB) and by requiring the TWDB to publish an online database containing the information received. </w:t>
            </w:r>
          </w:p>
          <w:p w:rsidR="008423E4" w:rsidRPr="00E26B13" w:rsidRDefault="00B91ED0" w:rsidP="00D0014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56260" w:rsidTr="00345119">
        <w:tc>
          <w:tcPr>
            <w:tcW w:w="9576" w:type="dxa"/>
          </w:tcPr>
          <w:p w:rsidR="0017725B" w:rsidRDefault="00B91ED0" w:rsidP="00D001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91ED0" w:rsidP="00D0014E">
            <w:pPr>
              <w:rPr>
                <w:b/>
                <w:u w:val="single"/>
              </w:rPr>
            </w:pPr>
          </w:p>
          <w:p w:rsidR="0000018F" w:rsidRPr="0000018F" w:rsidRDefault="00B91ED0" w:rsidP="00D0014E">
            <w:pPr>
              <w:jc w:val="both"/>
            </w:pPr>
            <w:r>
              <w:t>It is the committee's opinion that this bill does not expressly create a criminal offense, increase the punishment for an exist</w:t>
            </w:r>
            <w:r>
              <w:t>ing criminal offense or category of offenses, or change the eligibility of a person for community supervision, parole, or mandatory supervision.</w:t>
            </w:r>
            <w:r>
              <w:t xml:space="preserve"> </w:t>
            </w:r>
          </w:p>
          <w:p w:rsidR="0017725B" w:rsidRPr="0017725B" w:rsidRDefault="00B91ED0" w:rsidP="00D0014E">
            <w:pPr>
              <w:rPr>
                <w:b/>
                <w:u w:val="single"/>
              </w:rPr>
            </w:pPr>
          </w:p>
        </w:tc>
      </w:tr>
      <w:tr w:rsidR="00656260" w:rsidTr="00345119">
        <w:tc>
          <w:tcPr>
            <w:tcW w:w="9576" w:type="dxa"/>
          </w:tcPr>
          <w:p w:rsidR="008423E4" w:rsidRPr="00A8133F" w:rsidRDefault="00B91ED0" w:rsidP="00D0014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91ED0" w:rsidP="00D0014E"/>
          <w:p w:rsidR="0000018F" w:rsidRDefault="00B91ED0" w:rsidP="00D001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B91ED0" w:rsidP="00D0014E">
            <w:pPr>
              <w:rPr>
                <w:b/>
              </w:rPr>
            </w:pPr>
          </w:p>
        </w:tc>
      </w:tr>
      <w:tr w:rsidR="00656260" w:rsidTr="00345119">
        <w:tc>
          <w:tcPr>
            <w:tcW w:w="9576" w:type="dxa"/>
          </w:tcPr>
          <w:p w:rsidR="008423E4" w:rsidRPr="00A8133F" w:rsidRDefault="00B91ED0" w:rsidP="00D0014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91ED0" w:rsidP="00D0014E"/>
          <w:p w:rsidR="008423E4" w:rsidRDefault="00B91ED0" w:rsidP="00D0014E">
            <w:pPr>
              <w:pStyle w:val="Header"/>
              <w:jc w:val="both"/>
            </w:pPr>
            <w:r>
              <w:t xml:space="preserve">S.B. 563 amends the Government Code to require an applicable state agency </w:t>
            </w:r>
            <w:r w:rsidRPr="002D387F">
              <w:t xml:space="preserve">that uses or disburses federal money for flood research, planning, or mitigation projects </w:t>
            </w:r>
            <w:r>
              <w:t>to</w:t>
            </w:r>
            <w:r w:rsidRPr="002D387F">
              <w:t xml:space="preserve"> submit a report on a quarterly basis to the Texas Water Development Board</w:t>
            </w:r>
            <w:r>
              <w:t xml:space="preserve"> (TWDB)</w:t>
            </w:r>
            <w:r w:rsidRPr="002D387F">
              <w:t>.</w:t>
            </w:r>
            <w:r>
              <w:t xml:space="preserve"> The </w:t>
            </w:r>
            <w:r>
              <w:t>report must include the original total of federal money received, the amount of the federal money spent or disbursed to date, and the eligibility requirements for receiv</w:t>
            </w:r>
            <w:r>
              <w:t>ing the federal money</w:t>
            </w:r>
            <w:r>
              <w:t>.</w:t>
            </w:r>
          </w:p>
          <w:p w:rsidR="0000018F" w:rsidRDefault="00B91ED0" w:rsidP="00EF08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0018F" w:rsidRDefault="00B91ED0" w:rsidP="00D001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563 amends the Water Code to require the TWDB to maintain and make available on the TWDB website </w:t>
            </w:r>
            <w:r w:rsidRPr="0000018F">
              <w:t xml:space="preserve">a publicly accessible database of the </w:t>
            </w:r>
            <w:r>
              <w:t>information</w:t>
            </w:r>
            <w:r w:rsidRPr="0000018F">
              <w:t xml:space="preserve"> submitted</w:t>
            </w:r>
            <w:r>
              <w:t xml:space="preserve"> in </w:t>
            </w:r>
            <w:r>
              <w:t>the reports required by the bill</w:t>
            </w:r>
            <w:r>
              <w:t>.</w:t>
            </w:r>
          </w:p>
          <w:p w:rsidR="008423E4" w:rsidRPr="00835628" w:rsidRDefault="00B91ED0" w:rsidP="00D0014E">
            <w:pPr>
              <w:rPr>
                <w:b/>
              </w:rPr>
            </w:pPr>
          </w:p>
        </w:tc>
      </w:tr>
      <w:tr w:rsidR="00656260" w:rsidTr="00345119">
        <w:tc>
          <w:tcPr>
            <w:tcW w:w="9576" w:type="dxa"/>
          </w:tcPr>
          <w:p w:rsidR="008423E4" w:rsidRPr="00A8133F" w:rsidRDefault="00B91ED0" w:rsidP="00D0014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91ED0" w:rsidP="00D0014E"/>
          <w:p w:rsidR="008423E4" w:rsidRPr="003624F2" w:rsidRDefault="00B91ED0" w:rsidP="00D0014E">
            <w:r w:rsidRPr="0000018F">
              <w:t>September 1, 2</w:t>
            </w:r>
            <w:r w:rsidRPr="0000018F">
              <w:t>019.</w:t>
            </w:r>
          </w:p>
          <w:p w:rsidR="008423E4" w:rsidRPr="00233FDB" w:rsidRDefault="00B91ED0" w:rsidP="00D0014E">
            <w:pPr>
              <w:rPr>
                <w:b/>
              </w:rPr>
            </w:pPr>
          </w:p>
        </w:tc>
      </w:tr>
    </w:tbl>
    <w:p w:rsidR="008423E4" w:rsidRPr="00BE0E75" w:rsidRDefault="00B91ED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91ED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1ED0">
      <w:r>
        <w:separator/>
      </w:r>
    </w:p>
  </w:endnote>
  <w:endnote w:type="continuationSeparator" w:id="0">
    <w:p w:rsidR="00000000" w:rsidRDefault="00B9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1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56260" w:rsidTr="009C1E9A">
      <w:trPr>
        <w:cantSplit/>
      </w:trPr>
      <w:tc>
        <w:tcPr>
          <w:tcW w:w="0" w:type="pct"/>
        </w:tcPr>
        <w:p w:rsidR="00137D90" w:rsidRDefault="00B91E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91E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91E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91E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91E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6260" w:rsidTr="009C1E9A">
      <w:trPr>
        <w:cantSplit/>
      </w:trPr>
      <w:tc>
        <w:tcPr>
          <w:tcW w:w="0" w:type="pct"/>
        </w:tcPr>
        <w:p w:rsidR="00EC379B" w:rsidRDefault="00B91E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91ED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33931</w:t>
          </w:r>
        </w:p>
      </w:tc>
      <w:tc>
        <w:tcPr>
          <w:tcW w:w="2453" w:type="pct"/>
        </w:tcPr>
        <w:p w:rsidR="00EC379B" w:rsidRDefault="00B91E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19.134.572</w:t>
          </w:r>
          <w:r>
            <w:fldChar w:fldCharType="end"/>
          </w:r>
        </w:p>
      </w:tc>
    </w:tr>
    <w:tr w:rsidR="00656260" w:rsidTr="009C1E9A">
      <w:trPr>
        <w:cantSplit/>
      </w:trPr>
      <w:tc>
        <w:tcPr>
          <w:tcW w:w="0" w:type="pct"/>
        </w:tcPr>
        <w:p w:rsidR="00EC379B" w:rsidRDefault="00B91E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91E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91ED0" w:rsidP="006D504F">
          <w:pPr>
            <w:pStyle w:val="Footer"/>
            <w:rPr>
              <w:rStyle w:val="PageNumber"/>
            </w:rPr>
          </w:pPr>
        </w:p>
        <w:p w:rsidR="00EC379B" w:rsidRDefault="00B91E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626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91ED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91ED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91ED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1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1ED0">
      <w:r>
        <w:separator/>
      </w:r>
    </w:p>
  </w:footnote>
  <w:footnote w:type="continuationSeparator" w:id="0">
    <w:p w:rsidR="00000000" w:rsidRDefault="00B91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1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1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1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D0F"/>
    <w:multiLevelType w:val="hybridMultilevel"/>
    <w:tmpl w:val="1EBC6402"/>
    <w:lvl w:ilvl="0" w:tplc="68F052E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CF941D24" w:tentative="1">
      <w:start w:val="1"/>
      <w:numFmt w:val="lowerLetter"/>
      <w:lvlText w:val="%2."/>
      <w:lvlJc w:val="left"/>
      <w:pPr>
        <w:ind w:left="1440" w:hanging="360"/>
      </w:pPr>
    </w:lvl>
    <w:lvl w:ilvl="2" w:tplc="33A25716" w:tentative="1">
      <w:start w:val="1"/>
      <w:numFmt w:val="lowerRoman"/>
      <w:lvlText w:val="%3."/>
      <w:lvlJc w:val="right"/>
      <w:pPr>
        <w:ind w:left="2160" w:hanging="180"/>
      </w:pPr>
    </w:lvl>
    <w:lvl w:ilvl="3" w:tplc="5E38136C" w:tentative="1">
      <w:start w:val="1"/>
      <w:numFmt w:val="decimal"/>
      <w:lvlText w:val="%4."/>
      <w:lvlJc w:val="left"/>
      <w:pPr>
        <w:ind w:left="2880" w:hanging="360"/>
      </w:pPr>
    </w:lvl>
    <w:lvl w:ilvl="4" w:tplc="83E67020" w:tentative="1">
      <w:start w:val="1"/>
      <w:numFmt w:val="lowerLetter"/>
      <w:lvlText w:val="%5."/>
      <w:lvlJc w:val="left"/>
      <w:pPr>
        <w:ind w:left="3600" w:hanging="360"/>
      </w:pPr>
    </w:lvl>
    <w:lvl w:ilvl="5" w:tplc="FD007D94" w:tentative="1">
      <w:start w:val="1"/>
      <w:numFmt w:val="lowerRoman"/>
      <w:lvlText w:val="%6."/>
      <w:lvlJc w:val="right"/>
      <w:pPr>
        <w:ind w:left="4320" w:hanging="180"/>
      </w:pPr>
    </w:lvl>
    <w:lvl w:ilvl="6" w:tplc="11BC9744" w:tentative="1">
      <w:start w:val="1"/>
      <w:numFmt w:val="decimal"/>
      <w:lvlText w:val="%7."/>
      <w:lvlJc w:val="left"/>
      <w:pPr>
        <w:ind w:left="5040" w:hanging="360"/>
      </w:pPr>
    </w:lvl>
    <w:lvl w:ilvl="7" w:tplc="7E306B14" w:tentative="1">
      <w:start w:val="1"/>
      <w:numFmt w:val="lowerLetter"/>
      <w:lvlText w:val="%8."/>
      <w:lvlJc w:val="left"/>
      <w:pPr>
        <w:ind w:left="5760" w:hanging="360"/>
      </w:pPr>
    </w:lvl>
    <w:lvl w:ilvl="8" w:tplc="4EB86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14E13"/>
    <w:multiLevelType w:val="hybridMultilevel"/>
    <w:tmpl w:val="C86EC4DE"/>
    <w:lvl w:ilvl="0" w:tplc="B62AE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A6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E4F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EB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0E7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49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88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68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403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60"/>
    <w:rsid w:val="00656260"/>
    <w:rsid w:val="00B9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D153DD-DED1-464F-A5C7-AB576C95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001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0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01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0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018F"/>
    <w:rPr>
      <w:b/>
      <w:bCs/>
    </w:rPr>
  </w:style>
  <w:style w:type="character" w:styleId="Hyperlink">
    <w:name w:val="Hyperlink"/>
    <w:basedOn w:val="DefaultParagraphFont"/>
    <w:unhideWhenUsed/>
    <w:rsid w:val="000524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575D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33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1488</Characters>
  <Application>Microsoft Office Word</Application>
  <DocSecurity>4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SB00563 (Committee Report (Unamended))</vt:lpstr>
    </vt:vector>
  </TitlesOfParts>
  <Company>State of Texas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33931</dc:subject>
  <dc:creator>State of Texas</dc:creator>
  <dc:description>SB 563 by Perry-(H)Natural Resources</dc:description>
  <cp:lastModifiedBy>Laura Ramsay</cp:lastModifiedBy>
  <cp:revision>2</cp:revision>
  <cp:lastPrinted>2003-11-26T17:21:00Z</cp:lastPrinted>
  <dcterms:created xsi:type="dcterms:W3CDTF">2019-05-14T23:19:00Z</dcterms:created>
  <dcterms:modified xsi:type="dcterms:W3CDTF">2019-05-14T23:19:00Z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19.134.572</vt:lpwstr>
  </property>
</Properties>
</file>