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35E4" w:rsidTr="00345119">
        <w:tc>
          <w:tcPr>
            <w:tcW w:w="9576" w:type="dxa"/>
            <w:noWrap/>
          </w:tcPr>
          <w:p w:rsidR="008423E4" w:rsidRPr="0022177D" w:rsidRDefault="00D26B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6BCC" w:rsidP="008423E4">
      <w:pPr>
        <w:jc w:val="center"/>
      </w:pPr>
    </w:p>
    <w:p w:rsidR="008423E4" w:rsidRPr="00B31F0E" w:rsidRDefault="00D26BCC" w:rsidP="008423E4"/>
    <w:p w:rsidR="008423E4" w:rsidRPr="00742794" w:rsidRDefault="00D26B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35E4" w:rsidTr="00345119">
        <w:tc>
          <w:tcPr>
            <w:tcW w:w="9576" w:type="dxa"/>
          </w:tcPr>
          <w:p w:rsidR="008423E4" w:rsidRPr="00861995" w:rsidRDefault="00D26BCC" w:rsidP="00345119">
            <w:pPr>
              <w:jc w:val="right"/>
            </w:pPr>
            <w:r>
              <w:t>S.B. 568</w:t>
            </w:r>
          </w:p>
        </w:tc>
      </w:tr>
      <w:tr w:rsidR="00F735E4" w:rsidTr="00345119">
        <w:tc>
          <w:tcPr>
            <w:tcW w:w="9576" w:type="dxa"/>
          </w:tcPr>
          <w:p w:rsidR="008423E4" w:rsidRPr="00861995" w:rsidRDefault="00D26BCC" w:rsidP="007D7484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F735E4" w:rsidTr="00345119">
        <w:tc>
          <w:tcPr>
            <w:tcW w:w="9576" w:type="dxa"/>
          </w:tcPr>
          <w:p w:rsidR="008423E4" w:rsidRPr="00861995" w:rsidRDefault="00D26BCC" w:rsidP="00345119">
            <w:pPr>
              <w:jc w:val="right"/>
            </w:pPr>
            <w:r>
              <w:t>Human Services</w:t>
            </w:r>
          </w:p>
        </w:tc>
      </w:tr>
      <w:tr w:rsidR="00F735E4" w:rsidTr="00345119">
        <w:tc>
          <w:tcPr>
            <w:tcW w:w="9576" w:type="dxa"/>
          </w:tcPr>
          <w:p w:rsidR="008423E4" w:rsidRDefault="00D26B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6BCC" w:rsidP="008423E4">
      <w:pPr>
        <w:tabs>
          <w:tab w:val="right" w:pos="9360"/>
        </w:tabs>
      </w:pPr>
    </w:p>
    <w:p w:rsidR="008423E4" w:rsidRDefault="00D26BCC" w:rsidP="008423E4"/>
    <w:p w:rsidR="008423E4" w:rsidRDefault="00D26B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35E4" w:rsidTr="00345119">
        <w:tc>
          <w:tcPr>
            <w:tcW w:w="9576" w:type="dxa"/>
          </w:tcPr>
          <w:p w:rsidR="008423E4" w:rsidRPr="00A8133F" w:rsidRDefault="00D26BCC" w:rsidP="001F5B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6BCC" w:rsidP="001F5B71"/>
          <w:p w:rsidR="008423E4" w:rsidRDefault="00D26BCC" w:rsidP="001F5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Data made available by the state indicates that dozens of</w:t>
            </w:r>
            <w:r w:rsidRPr="0075458B">
              <w:t xml:space="preserve"> children </w:t>
            </w:r>
            <w:r>
              <w:t xml:space="preserve">have </w:t>
            </w:r>
            <w:r w:rsidRPr="0075458B">
              <w:t xml:space="preserve">died due to abuse or neglect at child-care facilities </w:t>
            </w:r>
            <w:r>
              <w:t xml:space="preserve">in Texas </w:t>
            </w:r>
            <w:r w:rsidRPr="0075458B">
              <w:t xml:space="preserve">in </w:t>
            </w:r>
            <w:r>
              <w:t>recent</w:t>
            </w:r>
            <w:r w:rsidRPr="0075458B">
              <w:t xml:space="preserve"> years</w:t>
            </w:r>
            <w:r>
              <w:t>,</w:t>
            </w:r>
            <w:r>
              <w:t xml:space="preserve"> with hundreds</w:t>
            </w:r>
            <w:r w:rsidRPr="0075458B">
              <w:t xml:space="preserve"> </w:t>
            </w:r>
            <w:r>
              <w:t>of</w:t>
            </w:r>
            <w:r w:rsidRPr="0075458B">
              <w:t xml:space="preserve"> cases of serious injur</w:t>
            </w:r>
            <w:r>
              <w:t>y having been reported as well</w:t>
            </w:r>
            <w:r w:rsidRPr="0075458B">
              <w:t xml:space="preserve">. </w:t>
            </w:r>
            <w:r>
              <w:t>There are concerns that these figures are inaccurate and obfuscat</w:t>
            </w:r>
            <w:r>
              <w:t>e</w:t>
            </w:r>
            <w:r>
              <w:t xml:space="preserve"> the real scope of the problem as child-</w:t>
            </w:r>
            <w:r w:rsidRPr="0075458B">
              <w:t xml:space="preserve">care facilities </w:t>
            </w:r>
            <w:r>
              <w:t xml:space="preserve">have </w:t>
            </w:r>
            <w:r w:rsidRPr="0075458B">
              <w:t xml:space="preserve">failed to report </w:t>
            </w:r>
            <w:r>
              <w:t>to the state and to parents</w:t>
            </w:r>
            <w:r>
              <w:t xml:space="preserve"> </w:t>
            </w:r>
            <w:r>
              <w:t xml:space="preserve">hundreds of cases of </w:t>
            </w:r>
            <w:r w:rsidRPr="0075458B">
              <w:t xml:space="preserve">injuries requiring medical attention. </w:t>
            </w:r>
            <w:r w:rsidRPr="0079685B">
              <w:t xml:space="preserve">S.B. 568 </w:t>
            </w:r>
            <w:r>
              <w:t xml:space="preserve">seeks to </w:t>
            </w:r>
            <w:r w:rsidRPr="0075458B">
              <w:t xml:space="preserve">strengthen regulations relating to child-care facilities </w:t>
            </w:r>
            <w:r>
              <w:t xml:space="preserve">and family homes </w:t>
            </w:r>
            <w:r w:rsidRPr="0075458B">
              <w:t xml:space="preserve">to </w:t>
            </w:r>
            <w:r>
              <w:t xml:space="preserve">better </w:t>
            </w:r>
            <w:r w:rsidRPr="0075458B">
              <w:t xml:space="preserve">protect children from harmful practices and ensure facilities are held responsible for </w:t>
            </w:r>
            <w:r>
              <w:t>operati</w:t>
            </w:r>
            <w:r>
              <w:t xml:space="preserve">ng </w:t>
            </w:r>
            <w:r w:rsidRPr="0075458B">
              <w:t>reckless</w:t>
            </w:r>
            <w:r>
              <w:t>ly</w:t>
            </w:r>
            <w:r w:rsidRPr="0075458B">
              <w:t>.</w:t>
            </w:r>
          </w:p>
          <w:p w:rsidR="008423E4" w:rsidRPr="00E26B13" w:rsidRDefault="00D26BCC" w:rsidP="001F5B71">
            <w:pPr>
              <w:rPr>
                <w:b/>
              </w:rPr>
            </w:pPr>
          </w:p>
        </w:tc>
      </w:tr>
      <w:tr w:rsidR="00F735E4" w:rsidTr="00345119">
        <w:tc>
          <w:tcPr>
            <w:tcW w:w="9576" w:type="dxa"/>
          </w:tcPr>
          <w:p w:rsidR="0017725B" w:rsidRDefault="00D26BCC" w:rsidP="001F5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6BCC" w:rsidP="001F5B71">
            <w:pPr>
              <w:rPr>
                <w:b/>
                <w:u w:val="single"/>
              </w:rPr>
            </w:pPr>
          </w:p>
          <w:p w:rsidR="00684C8D" w:rsidRPr="00684C8D" w:rsidRDefault="00D26BCC" w:rsidP="001F5B7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D26BCC" w:rsidP="001F5B71">
            <w:pPr>
              <w:rPr>
                <w:b/>
                <w:u w:val="single"/>
              </w:rPr>
            </w:pPr>
          </w:p>
        </w:tc>
      </w:tr>
      <w:tr w:rsidR="00F735E4" w:rsidTr="00345119">
        <w:tc>
          <w:tcPr>
            <w:tcW w:w="9576" w:type="dxa"/>
          </w:tcPr>
          <w:p w:rsidR="008423E4" w:rsidRPr="00A8133F" w:rsidRDefault="00D26BCC" w:rsidP="001F5B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6BCC" w:rsidP="001F5B71"/>
          <w:p w:rsidR="00394D32" w:rsidRDefault="00D26BCC" w:rsidP="001F5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94D32">
              <w:t xml:space="preserve">executive commissioner </w:t>
            </w:r>
            <w:r>
              <w:t>of the Health and Human Services Commission</w:t>
            </w:r>
            <w:r w:rsidRPr="00394D32">
              <w:t xml:space="preserve"> </w:t>
            </w:r>
            <w:r>
              <w:t xml:space="preserve">in </w:t>
            </w:r>
            <w:r w:rsidRPr="00C91C3B">
              <w:t>SECTIONS 1, 2,</w:t>
            </w:r>
            <w:r w:rsidRPr="00C91C3B">
              <w:t xml:space="preserve"> 5, 7</w:t>
            </w:r>
            <w:r w:rsidRPr="00C91C3B">
              <w:t>,</w:t>
            </w:r>
            <w:r>
              <w:t xml:space="preserve"> and 10 of this bill.</w:t>
            </w:r>
          </w:p>
          <w:p w:rsidR="008423E4" w:rsidRPr="00E21FDC" w:rsidRDefault="00D26BCC" w:rsidP="001F5B71">
            <w:pPr>
              <w:rPr>
                <w:b/>
              </w:rPr>
            </w:pPr>
          </w:p>
        </w:tc>
      </w:tr>
      <w:tr w:rsidR="00F735E4" w:rsidTr="00345119">
        <w:tc>
          <w:tcPr>
            <w:tcW w:w="9576" w:type="dxa"/>
          </w:tcPr>
          <w:p w:rsidR="008423E4" w:rsidRDefault="00D26BCC" w:rsidP="001F5B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F5B71" w:rsidRPr="0079685B" w:rsidRDefault="00D26BCC" w:rsidP="001F5B71">
            <w:pPr>
              <w:rPr>
                <w:b/>
              </w:rPr>
            </w:pPr>
          </w:p>
          <w:p w:rsidR="001923B9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 xml:space="preserve">amends the Human Resources Code to </w:t>
            </w:r>
            <w:r>
              <w:t xml:space="preserve">transfer certain regulatory authority concerning certain child-care facilities from the Department of Family and Protective Services to the Health and Human Services Commission (HHSC). The bill </w:t>
            </w:r>
            <w:r>
              <w:t>require</w:t>
            </w:r>
            <w:r>
              <w:t>s</w:t>
            </w:r>
            <w:r>
              <w:t xml:space="preserve"> the executive commissioner </w:t>
            </w:r>
            <w:r>
              <w:t>of HHSC</w:t>
            </w:r>
            <w:r>
              <w:t xml:space="preserve"> </w:t>
            </w:r>
            <w:r>
              <w:t>by rule to establi</w:t>
            </w:r>
            <w:r>
              <w:t xml:space="preserve">sh safe sleeping standards for </w:t>
            </w:r>
            <w:r>
              <w:t xml:space="preserve">certain </w:t>
            </w:r>
            <w:r>
              <w:t xml:space="preserve">licensed </w:t>
            </w:r>
            <w:r w:rsidRPr="006A0A39">
              <w:t xml:space="preserve">facilities </w:t>
            </w:r>
            <w:r w:rsidRPr="008E1074">
              <w:t xml:space="preserve">that provide child-care services </w:t>
            </w:r>
            <w:r w:rsidRPr="006A0A39">
              <w:t>and</w:t>
            </w:r>
            <w:r>
              <w:t xml:space="preserve"> registered family homes and requires each </w:t>
            </w:r>
            <w:r>
              <w:t xml:space="preserve">such </w:t>
            </w:r>
            <w:r>
              <w:t>facility or home</w:t>
            </w:r>
            <w:r>
              <w:t xml:space="preserve"> to comply with the </w:t>
            </w:r>
            <w:r>
              <w:t xml:space="preserve">established </w:t>
            </w:r>
            <w:r>
              <w:t xml:space="preserve">standards. The bill requires </w:t>
            </w:r>
            <w:r>
              <w:t>a</w:t>
            </w:r>
            <w:r>
              <w:t xml:space="preserve"> facility or home </w:t>
            </w:r>
            <w:r>
              <w:t>HHSC</w:t>
            </w:r>
            <w:r>
              <w:t xml:space="preserve"> </w:t>
            </w:r>
            <w:r>
              <w:t xml:space="preserve">has </w:t>
            </w:r>
            <w:r>
              <w:t>determine</w:t>
            </w:r>
            <w:r>
              <w:t>d</w:t>
            </w:r>
            <w:r>
              <w:t xml:space="preserve"> </w:t>
            </w:r>
            <w:r>
              <w:t xml:space="preserve">to have </w:t>
            </w:r>
            <w:r>
              <w:t xml:space="preserve">violated an established standard to </w:t>
            </w:r>
            <w:r>
              <w:t xml:space="preserve">provide written </w:t>
            </w:r>
            <w:r>
              <w:t>n</w:t>
            </w:r>
            <w:r>
              <w:t>otice in the form and manner required by the executive commissioner to the parent or legal guardian of each child attending the facility or home.</w:t>
            </w:r>
            <w:r>
              <w:t xml:space="preserve"> The bill requires the </w:t>
            </w:r>
            <w:r>
              <w:t>executive commis</w:t>
            </w:r>
            <w:r>
              <w:t xml:space="preserve">sioner </w:t>
            </w:r>
            <w:r>
              <w:t xml:space="preserve">to </w:t>
            </w:r>
            <w:r>
              <w:t xml:space="preserve">prescribe the form for the notice and </w:t>
            </w:r>
            <w:r>
              <w:t xml:space="preserve">to </w:t>
            </w:r>
            <w:r>
              <w:t xml:space="preserve">post the form on the </w:t>
            </w:r>
            <w:r>
              <w:t xml:space="preserve">HHSC </w:t>
            </w:r>
            <w:r>
              <w:t>website.</w:t>
            </w:r>
          </w:p>
          <w:p w:rsidR="008617D7" w:rsidRDefault="00D26BCC" w:rsidP="001F5B71">
            <w:pPr>
              <w:pStyle w:val="Header"/>
              <w:jc w:val="both"/>
            </w:pPr>
          </w:p>
          <w:p w:rsidR="008617D7" w:rsidRDefault="00D26BCC" w:rsidP="001F5B71">
            <w:pPr>
              <w:pStyle w:val="Header"/>
              <w:jc w:val="both"/>
            </w:pPr>
            <w:r w:rsidRPr="00522235">
              <w:t>S.B. 568</w:t>
            </w:r>
            <w:r>
              <w:t xml:space="preserve"> </w:t>
            </w:r>
            <w:r w:rsidRPr="00522235">
              <w:t xml:space="preserve">clarifies that the </w:t>
            </w:r>
            <w:r w:rsidRPr="00522235">
              <w:t>require</w:t>
            </w:r>
            <w:r w:rsidRPr="00522235">
              <w:t>ment for</w:t>
            </w:r>
            <w:r w:rsidRPr="00522235">
              <w:t xml:space="preserve"> </w:t>
            </w:r>
            <w:r w:rsidRPr="00522235">
              <w:t xml:space="preserve">HHSC </w:t>
            </w:r>
            <w:r w:rsidRPr="00522235">
              <w:t>to include</w:t>
            </w:r>
            <w:r w:rsidRPr="00522235">
              <w:t xml:space="preserve"> </w:t>
            </w:r>
            <w:r w:rsidRPr="00522235">
              <w:t xml:space="preserve">in the computerized </w:t>
            </w:r>
            <w:r w:rsidRPr="00522235">
              <w:t>database</w:t>
            </w:r>
            <w:r w:rsidRPr="00522235">
              <w:t xml:space="preserve"> </w:t>
            </w:r>
            <w:r w:rsidRPr="00522235">
              <w:t xml:space="preserve">relevant inspection </w:t>
            </w:r>
            <w:r w:rsidRPr="00522235">
              <w:t>information on licensed and registered family homes</w:t>
            </w:r>
            <w:r w:rsidRPr="00522235">
              <w:t xml:space="preserve"> obtained</w:t>
            </w:r>
            <w:r w:rsidRPr="00522235">
              <w:t xml:space="preserve"> from other state agencies and political subdivisions</w:t>
            </w:r>
            <w:r w:rsidRPr="00522235">
              <w:t xml:space="preserve"> applies to inspection information </w:t>
            </w:r>
            <w:r>
              <w:t>on</w:t>
            </w:r>
            <w:r w:rsidRPr="00522235">
              <w:t xml:space="preserve"> </w:t>
            </w:r>
            <w:r w:rsidRPr="00522235">
              <w:t>all licensed facilities</w:t>
            </w:r>
            <w:r w:rsidRPr="00522235">
              <w:t>.</w:t>
            </w:r>
            <w:r>
              <w:t xml:space="preserve"> </w:t>
            </w:r>
            <w:r>
              <w:t xml:space="preserve">The </w:t>
            </w:r>
            <w:r>
              <w:t xml:space="preserve">bill </w:t>
            </w:r>
            <w:r>
              <w:t xml:space="preserve">removes </w:t>
            </w:r>
            <w:r>
              <w:t xml:space="preserve">the authorization for </w:t>
            </w:r>
            <w:r>
              <w:t xml:space="preserve">HHSC </w:t>
            </w:r>
            <w:r>
              <w:t xml:space="preserve">to provide inspection data </w:t>
            </w:r>
            <w:r w:rsidRPr="0057153D">
              <w:t xml:space="preserve">to the public if </w:t>
            </w:r>
            <w:r>
              <w:t>HHSC</w:t>
            </w:r>
            <w:r w:rsidRPr="0057153D">
              <w:t xml:space="preserve"> determines that providing </w:t>
            </w:r>
            <w:r>
              <w:t>that</w:t>
            </w:r>
            <w:r w:rsidRPr="0057153D">
              <w:t xml:space="preserve"> </w:t>
            </w:r>
            <w:r w:rsidRPr="0057153D">
              <w:t>data enhances co</w:t>
            </w:r>
            <w:r w:rsidRPr="0057153D">
              <w:t>nsumer choice with respect to those facilities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instead </w:t>
            </w:r>
            <w:r>
              <w:t xml:space="preserve">requires HHSC </w:t>
            </w:r>
            <w:r>
              <w:t xml:space="preserve">to </w:t>
            </w:r>
            <w:r w:rsidRPr="0057153D">
              <w:t xml:space="preserve">provide a minimum </w:t>
            </w:r>
            <w:r>
              <w:t xml:space="preserve">of </w:t>
            </w:r>
            <w:r w:rsidRPr="0057153D">
              <w:t xml:space="preserve">five years of inspection data for all </w:t>
            </w:r>
            <w:r>
              <w:t>entities contained in the database</w:t>
            </w:r>
            <w:r>
              <w:t>.</w:t>
            </w:r>
          </w:p>
          <w:p w:rsidR="008617D7" w:rsidRDefault="00D26BCC" w:rsidP="001F5B71">
            <w:pPr>
              <w:pStyle w:val="Header"/>
              <w:jc w:val="both"/>
            </w:pPr>
          </w:p>
          <w:p w:rsidR="008617D7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>makes certain liability insurance requirements applicable to license</w:t>
            </w:r>
            <w:r>
              <w:t>es</w:t>
            </w:r>
            <w:r>
              <w:t xml:space="preserve"> and registra</w:t>
            </w:r>
            <w:r>
              <w:t>n</w:t>
            </w:r>
            <w:r>
              <w:t>t</w:t>
            </w:r>
            <w:r>
              <w:t>s</w:t>
            </w:r>
            <w:r>
              <w:t xml:space="preserve"> and </w:t>
            </w:r>
            <w:r>
              <w:t xml:space="preserve">specifies that </w:t>
            </w:r>
            <w:r>
              <w:t xml:space="preserve">proof of liability insurance </w:t>
            </w:r>
            <w:r>
              <w:t xml:space="preserve">must be filed </w:t>
            </w:r>
            <w:r>
              <w:t>annual</w:t>
            </w:r>
            <w:r>
              <w:t>ly with HHSC.</w:t>
            </w:r>
            <w:r>
              <w:t xml:space="preserve"> </w:t>
            </w:r>
            <w:r>
              <w:t xml:space="preserve">The bill revises the notification requirement applicable if </w:t>
            </w:r>
            <w:r>
              <w:t xml:space="preserve">the </w:t>
            </w:r>
            <w:r>
              <w:t xml:space="preserve">insurance cannot be secured </w:t>
            </w:r>
            <w:r w:rsidRPr="00E122B2">
              <w:t>for financial reasons or for lack of availability of an underwrit</w:t>
            </w:r>
            <w:r w:rsidRPr="00E122B2">
              <w:t>er willing to issue a policy</w:t>
            </w:r>
            <w:r>
              <w:t xml:space="preserve"> and</w:t>
            </w:r>
            <w:r>
              <w:t xml:space="preserve"> requires </w:t>
            </w:r>
            <w:r>
              <w:t xml:space="preserve">HHSC to </w:t>
            </w:r>
            <w:r w:rsidRPr="008617D7">
              <w:t xml:space="preserve">prescribe a form </w:t>
            </w:r>
            <w:r>
              <w:t>to be</w:t>
            </w:r>
            <w:r w:rsidRPr="008617D7">
              <w:t xml:space="preserve"> use</w:t>
            </w:r>
            <w:r>
              <w:t>d</w:t>
            </w:r>
            <w:r w:rsidRPr="008617D7">
              <w:t xml:space="preserve"> to notify a parent or guardian that liab</w:t>
            </w:r>
            <w:r>
              <w:t>ility coverage is not provided</w:t>
            </w:r>
            <w:r>
              <w:t>.</w:t>
            </w:r>
            <w:r>
              <w:t xml:space="preserve"> </w:t>
            </w:r>
            <w:r>
              <w:t xml:space="preserve">The bill requires HHSC </w:t>
            </w:r>
            <w:r>
              <w:t xml:space="preserve">to </w:t>
            </w:r>
            <w:r w:rsidRPr="008617D7">
              <w:t xml:space="preserve">post </w:t>
            </w:r>
            <w:r>
              <w:t xml:space="preserve">the form on </w:t>
            </w:r>
            <w:r>
              <w:t>its</w:t>
            </w:r>
            <w:r>
              <w:t xml:space="preserve"> </w:t>
            </w:r>
            <w:r w:rsidRPr="008617D7">
              <w:t>website.</w:t>
            </w:r>
          </w:p>
          <w:p w:rsidR="00E122B2" w:rsidRDefault="00D26BCC" w:rsidP="001F5B71">
            <w:pPr>
              <w:pStyle w:val="Header"/>
              <w:jc w:val="both"/>
            </w:pPr>
          </w:p>
          <w:p w:rsidR="00EB1575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 xml:space="preserve">requires HHSC to evaluate an </w:t>
            </w:r>
            <w:r w:rsidRPr="00E122B2">
              <w:t>application</w:t>
            </w:r>
            <w:r w:rsidRPr="00E122B2">
              <w:t xml:space="preserve"> for </w:t>
            </w:r>
            <w:r>
              <w:t xml:space="preserve">license </w:t>
            </w:r>
            <w:r w:rsidRPr="00E122B2">
              <w:t xml:space="preserve">renewal </w:t>
            </w:r>
            <w:r>
              <w:t xml:space="preserve">to determine </w:t>
            </w:r>
            <w:r w:rsidRPr="003111CA">
              <w:t xml:space="preserve">whether the facility has been cited for repeated violations or has established a pattern of violations during the preceding two years. </w:t>
            </w:r>
            <w:r>
              <w:t xml:space="preserve">The bill requires HHSC to evaluate an application for renewal </w:t>
            </w:r>
            <w:r w:rsidRPr="00E122B2">
              <w:t xml:space="preserve">of </w:t>
            </w:r>
            <w:r>
              <w:t>a</w:t>
            </w:r>
            <w:r>
              <w:t xml:space="preserve"> facility</w:t>
            </w:r>
            <w:r>
              <w:t xml:space="preserve"> </w:t>
            </w:r>
            <w:r w:rsidRPr="00D4739B">
              <w:t>certificati</w:t>
            </w:r>
            <w:r w:rsidRPr="00D4739B">
              <w:t>on</w:t>
            </w:r>
            <w:r>
              <w:t xml:space="preserve"> </w:t>
            </w:r>
            <w:r>
              <w:t>or</w:t>
            </w:r>
            <w:r>
              <w:t xml:space="preserve"> </w:t>
            </w:r>
            <w:r w:rsidRPr="00D4739B">
              <w:t>family home registration</w:t>
            </w:r>
            <w:r>
              <w:t xml:space="preserve"> </w:t>
            </w:r>
            <w:r>
              <w:t xml:space="preserve">to determine if all requirements are met and </w:t>
            </w:r>
            <w:r w:rsidRPr="00790712">
              <w:t xml:space="preserve">to determine </w:t>
            </w:r>
            <w:r>
              <w:t xml:space="preserve">whether the applicant has been cited for repeated violations or has established a pattern of violations during the preceding two years. </w:t>
            </w:r>
            <w:r>
              <w:t>The bill authorizes t</w:t>
            </w:r>
            <w:r>
              <w:t xml:space="preserve">he evaluation </w:t>
            </w:r>
            <w:r>
              <w:t xml:space="preserve">of an application to renew a certification or registration </w:t>
            </w:r>
            <w:r>
              <w:t xml:space="preserve">to </w:t>
            </w:r>
            <w:r>
              <w:t xml:space="preserve">include a specified number of </w:t>
            </w:r>
            <w:r>
              <w:t xml:space="preserve">site </w:t>
            </w:r>
            <w:r>
              <w:t>visits and</w:t>
            </w:r>
            <w:r>
              <w:t xml:space="preserve"> requires the evaluation to </w:t>
            </w:r>
            <w:r>
              <w:t xml:space="preserve">include a review of all required forms and records. </w:t>
            </w:r>
            <w:r>
              <w:t xml:space="preserve">The bill </w:t>
            </w:r>
            <w:r>
              <w:t xml:space="preserve">authorizes </w:t>
            </w:r>
            <w:r>
              <w:t>HHSC</w:t>
            </w:r>
            <w:r>
              <w:t xml:space="preserve"> </w:t>
            </w:r>
            <w:r>
              <w:t xml:space="preserve">to </w:t>
            </w:r>
            <w:r>
              <w:t>place restrictions, conditi</w:t>
            </w:r>
            <w:r>
              <w:t xml:space="preserve">ons, or additional requirements on the </w:t>
            </w:r>
            <w:r>
              <w:t xml:space="preserve">license, </w:t>
            </w:r>
            <w:r>
              <w:t>certification</w:t>
            </w:r>
            <w:r>
              <w:t>,</w:t>
            </w:r>
            <w:r>
              <w:t xml:space="preserve"> or registration </w:t>
            </w:r>
            <w:r>
              <w:t xml:space="preserve">of </w:t>
            </w:r>
            <w:r>
              <w:t>a facility or home</w:t>
            </w:r>
            <w:r>
              <w:t xml:space="preserve"> </w:t>
            </w:r>
            <w:r w:rsidRPr="006A0A39">
              <w:t xml:space="preserve">that </w:t>
            </w:r>
            <w:r w:rsidRPr="006A0A39">
              <w:t xml:space="preserve">HHSC has determined to have </w:t>
            </w:r>
            <w:r w:rsidRPr="006A0A39">
              <w:t xml:space="preserve">committed </w:t>
            </w:r>
            <w:r w:rsidRPr="006A0A39">
              <w:t xml:space="preserve">repeated violations or an established pattern of violations </w:t>
            </w:r>
            <w:r>
              <w:t>before renew</w:t>
            </w:r>
            <w:r>
              <w:t>al</w:t>
            </w:r>
            <w:r>
              <w:t xml:space="preserve"> </w:t>
            </w:r>
            <w:r>
              <w:t>to ensure the violations cease.</w:t>
            </w:r>
            <w:r>
              <w:t xml:space="preserve"> </w:t>
            </w:r>
            <w:r w:rsidRPr="00D4739B">
              <w:t>The b</w:t>
            </w:r>
            <w:r w:rsidRPr="00D4739B">
              <w:t>ill prohibits HHSC from renewing the license</w:t>
            </w:r>
            <w:r>
              <w:t>, certification, or registration</w:t>
            </w:r>
            <w:r w:rsidRPr="00D4739B">
              <w:t xml:space="preserve"> </w:t>
            </w:r>
            <w:r>
              <w:t>if a cited violation</w:t>
            </w:r>
            <w:r w:rsidRPr="00D4739B">
              <w:t xml:space="preserve"> is not corrected by the required compliance date </w:t>
            </w:r>
            <w:r>
              <w:t>unless</w:t>
            </w:r>
            <w:r>
              <w:t xml:space="preserve"> </w:t>
            </w:r>
            <w:r w:rsidRPr="00D4739B">
              <w:t>the violation is pending an administrative review under HHSC rules or pending review as a contested ca</w:t>
            </w:r>
            <w:r w:rsidRPr="00D4739B">
              <w:t>se under the</w:t>
            </w:r>
            <w:r>
              <w:t xml:space="preserve"> </w:t>
            </w:r>
            <w:r w:rsidRPr="00EB1575">
              <w:t>Administrative Procedure Act.</w:t>
            </w:r>
          </w:p>
          <w:p w:rsidR="00BC5466" w:rsidRDefault="00D26BCC" w:rsidP="001F5B71">
            <w:pPr>
              <w:pStyle w:val="Header"/>
              <w:jc w:val="both"/>
            </w:pPr>
          </w:p>
          <w:p w:rsidR="00BC5466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 xml:space="preserve">requires </w:t>
            </w:r>
            <w:r>
              <w:t xml:space="preserve">a </w:t>
            </w:r>
            <w:r>
              <w:t>license</w:t>
            </w:r>
            <w:r>
              <w:t>e</w:t>
            </w:r>
            <w:r>
              <w:t xml:space="preserve"> or regist</w:t>
            </w:r>
            <w:r>
              <w:t>ra</w:t>
            </w:r>
            <w:r>
              <w:t>n</w:t>
            </w:r>
            <w:r>
              <w:t xml:space="preserve">t </w:t>
            </w:r>
            <w:r>
              <w:t>to noti</w:t>
            </w:r>
            <w:r>
              <w:t>fy in accordance with HHSC</w:t>
            </w:r>
            <w:r>
              <w:t xml:space="preserve"> rule a parent or guardian of a child in the</w:t>
            </w:r>
            <w:r>
              <w:t xml:space="preserve"> person's</w:t>
            </w:r>
            <w:r>
              <w:t xml:space="preserve"> care of the following: </w:t>
            </w:r>
          </w:p>
          <w:p w:rsidR="00BC5466" w:rsidRDefault="00D26BCC" w:rsidP="001F5B7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incident of abuse, neglect, or exploitation of the chil</w:t>
            </w:r>
            <w:r>
              <w:t>d</w:t>
            </w:r>
            <w:r>
              <w:t>;</w:t>
            </w:r>
          </w:p>
          <w:p w:rsidR="00BC5466" w:rsidRDefault="00D26BCC" w:rsidP="001F5B7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injury of the child that requires treatment by a medical professional or hospitalization</w:t>
            </w:r>
            <w:r>
              <w:t>;</w:t>
            </w:r>
          </w:p>
          <w:p w:rsidR="00BC5466" w:rsidRDefault="00D26BCC" w:rsidP="001F5B7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illness of the child that requires hospitalization</w:t>
            </w:r>
            <w:r>
              <w:t>;</w:t>
            </w:r>
            <w:r>
              <w:t xml:space="preserve"> </w:t>
            </w:r>
            <w:r>
              <w:t xml:space="preserve">or </w:t>
            </w:r>
          </w:p>
          <w:p w:rsidR="00BC5466" w:rsidRDefault="00D26BCC" w:rsidP="001F5B7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violation that constitutes abuse, neglect, or exploitation of a child. </w:t>
            </w:r>
          </w:p>
          <w:p w:rsidR="00E818DC" w:rsidRDefault="00D26BCC" w:rsidP="001F5B71">
            <w:pPr>
              <w:pStyle w:val="Header"/>
              <w:jc w:val="both"/>
            </w:pPr>
          </w:p>
          <w:p w:rsidR="004212F1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 xml:space="preserve">authorizes a person to </w:t>
            </w:r>
            <w:r w:rsidRPr="00E818DC">
              <w:t xml:space="preserve">continue to operate a facility or family home during an appeal of a refusal to renew a license, certification, or registration </w:t>
            </w:r>
            <w:r>
              <w:t>unless</w:t>
            </w:r>
            <w:r>
              <w:t xml:space="preserve"> </w:t>
            </w:r>
            <w:r w:rsidRPr="00E818DC">
              <w:t xml:space="preserve">the </w:t>
            </w:r>
            <w:r>
              <w:t>facility or home</w:t>
            </w:r>
            <w:r w:rsidRPr="00E818DC">
              <w:t xml:space="preserve"> poses a risk to the health or safety of children</w:t>
            </w:r>
            <w:r>
              <w:t xml:space="preserve">. The bill specifies that </w:t>
            </w:r>
            <w:r w:rsidRPr="001C4071">
              <w:t>stan</w:t>
            </w:r>
            <w:r w:rsidRPr="001C4071">
              <w:t>dards for a violation constituting abuse, neglect, or exploitation of a child</w:t>
            </w:r>
            <w:r>
              <w:t xml:space="preserve"> and </w:t>
            </w:r>
            <w:r w:rsidRPr="001C4071">
              <w:t>standards establishing times for reporting information to a pare</w:t>
            </w:r>
            <w:r>
              <w:t>nt or guardian or HHSC</w:t>
            </w:r>
            <w:r>
              <w:t xml:space="preserve"> are considered high-risk standards </w:t>
            </w:r>
            <w:r>
              <w:t>for purposes of</w:t>
            </w:r>
            <w:r>
              <w:t xml:space="preserve"> an </w:t>
            </w:r>
            <w:r w:rsidRPr="001C60B3">
              <w:t xml:space="preserve">administrative penalty </w:t>
            </w:r>
            <w:r>
              <w:t>being impo</w:t>
            </w:r>
            <w:r>
              <w:t xml:space="preserve">sed </w:t>
            </w:r>
            <w:r w:rsidRPr="001C60B3">
              <w:t>without a nonmonetary administrative sanction</w:t>
            </w:r>
            <w:r>
              <w:t xml:space="preserve"> being first imposed</w:t>
            </w:r>
            <w:r>
              <w:t xml:space="preserve">. </w:t>
            </w:r>
          </w:p>
          <w:p w:rsidR="004212F1" w:rsidRDefault="00D26BCC" w:rsidP="001F5B71">
            <w:pPr>
              <w:pStyle w:val="Header"/>
              <w:jc w:val="both"/>
            </w:pPr>
          </w:p>
          <w:p w:rsidR="004212F1" w:rsidRDefault="00D26BCC" w:rsidP="001F5B71">
            <w:pPr>
              <w:pStyle w:val="Header"/>
              <w:jc w:val="both"/>
            </w:pPr>
            <w:r>
              <w:t>S.B. 568 requires HHSC to recommend the</w:t>
            </w:r>
            <w:r>
              <w:t xml:space="preserve"> assessment of administrative</w:t>
            </w:r>
            <w:r>
              <w:t xml:space="preserve"> penalties for the following violations in the following amounts:</w:t>
            </w:r>
          </w:p>
          <w:p w:rsidR="004212F1" w:rsidRDefault="00D26BCC" w:rsidP="001F5B71">
            <w:pPr>
              <w:pStyle w:val="Header"/>
              <w:jc w:val="both"/>
            </w:pPr>
          </w:p>
          <w:p w:rsidR="007B483B" w:rsidRDefault="00D26BCC" w:rsidP="00397DD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$1,000 for violations constituting abuse, </w:t>
            </w:r>
            <w:r>
              <w:t>neglect, or exploitation of a child;</w:t>
            </w:r>
          </w:p>
          <w:p w:rsidR="007B483B" w:rsidRDefault="00D26BCC" w:rsidP="00397DD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$500 for failure to report certain injuries of a child to a parent or guardian within a certain time frame;</w:t>
            </w:r>
          </w:p>
          <w:p w:rsidR="007B483B" w:rsidRDefault="00D26BCC" w:rsidP="00397DD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$50 for failure to report citations by HHSC for certain violations to a parent or guardian within a certain tim</w:t>
            </w:r>
            <w:r>
              <w:t>e frame; and</w:t>
            </w:r>
          </w:p>
          <w:p w:rsidR="007B483B" w:rsidRDefault="00D26BCC" w:rsidP="00397DDA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$50 for failure to report the lack of liability insurance coverage to a parent or guardian within a certain time frame.</w:t>
            </w:r>
          </w:p>
          <w:p w:rsidR="00EB1575" w:rsidRDefault="00D26BCC" w:rsidP="00397DDA">
            <w:pPr>
              <w:pStyle w:val="Header"/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provides for the recommendation of a penalty for initial and continuing violations relating to failures to report </w:t>
            </w:r>
            <w:r>
              <w:t xml:space="preserve">certain citations and the lack of applicable insurance coverage. The bill </w:t>
            </w:r>
            <w:r w:rsidRPr="00106D6B">
              <w:t>excepts</w:t>
            </w:r>
            <w:r>
              <w:t xml:space="preserve"> a residential child-care facility</w:t>
            </w:r>
            <w:r>
              <w:t xml:space="preserve"> from the penalty schedule</w:t>
            </w:r>
            <w:r>
              <w:t>.</w:t>
            </w:r>
          </w:p>
          <w:p w:rsidR="00884E6B" w:rsidRDefault="00D26BCC" w:rsidP="001F5B71">
            <w:pPr>
              <w:pStyle w:val="Header"/>
              <w:jc w:val="both"/>
            </w:pPr>
          </w:p>
          <w:p w:rsidR="00FF5F66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 xml:space="preserve">creates the safety training account as a dedicated account in the general revenue fund for purposes of </w:t>
            </w:r>
            <w:r>
              <w:t xml:space="preserve">appropriating money to </w:t>
            </w:r>
            <w:r>
              <w:t xml:space="preserve">HHSC </w:t>
            </w:r>
            <w:r>
              <w:t>to provide safety training materials at no cost to a registered or listed family home or to a licensed facility, which includes a child-care facility, child-placing agency, or continuum-of-care residential operation. The bill se</w:t>
            </w:r>
            <w:r>
              <w:t xml:space="preserve">ts out the composition of the account, </w:t>
            </w:r>
            <w:r w:rsidRPr="00106D6B">
              <w:t>exempts</w:t>
            </w:r>
            <w:r>
              <w:t xml:space="preserve"> the account from the application of statutory provisions governing the reallocation of interest accrued on certain dedicated revenue, and authorizes HHSC to contract with a third party to create the applicable</w:t>
            </w:r>
            <w:r>
              <w:t xml:space="preserve"> training materials. The bill requires the executive commissioner to adopt rules necessary to implement these provisions.</w:t>
            </w:r>
          </w:p>
          <w:p w:rsidR="00FF5F66" w:rsidRDefault="00D26BCC" w:rsidP="001F5B71">
            <w:pPr>
              <w:pStyle w:val="Header"/>
              <w:jc w:val="both"/>
            </w:pPr>
          </w:p>
          <w:p w:rsidR="00394D32" w:rsidRDefault="00D26BCC" w:rsidP="001F5B71">
            <w:pPr>
              <w:pStyle w:val="Header"/>
              <w:jc w:val="both"/>
            </w:pPr>
            <w:r w:rsidRPr="0079685B">
              <w:t xml:space="preserve">S.B. 568 </w:t>
            </w:r>
            <w:r>
              <w:t>requires the executive commissioner</w:t>
            </w:r>
            <w:r>
              <w:t xml:space="preserve"> to</w:t>
            </w:r>
            <w:r w:rsidRPr="00394D32">
              <w:t xml:space="preserve"> adopt the rules necessary to implement the changes in law made by</w:t>
            </w:r>
            <w:r>
              <w:t xml:space="preserve"> the bill. </w:t>
            </w:r>
            <w:r>
              <w:t xml:space="preserve">HHSC is required to implement </w:t>
            </w:r>
            <w:r w:rsidRPr="006B0958">
              <w:t xml:space="preserve">a provision of </w:t>
            </w:r>
            <w:r>
              <w:t>the bill</w:t>
            </w:r>
            <w:r w:rsidRPr="006B0958">
              <w:t xml:space="preserve"> only if the legislature appropriates money specifically for that purpose. If the legislature does not appropriate money specifically for that purpose, </w:t>
            </w:r>
            <w:r>
              <w:t>HHSC</w:t>
            </w:r>
            <w:r w:rsidRPr="006B0958">
              <w:t xml:space="preserve"> may, but is not required to, implement a provi</w:t>
            </w:r>
            <w:r w:rsidRPr="006B0958">
              <w:t xml:space="preserve">sion of </w:t>
            </w:r>
            <w:r>
              <w:t>the bill</w:t>
            </w:r>
            <w:r w:rsidRPr="006B0958">
              <w:t xml:space="preserve"> using other appropriations available for that purpose.</w:t>
            </w:r>
          </w:p>
          <w:p w:rsidR="001F5B71" w:rsidRDefault="00D26BCC" w:rsidP="001F5B71">
            <w:pPr>
              <w:pStyle w:val="Header"/>
              <w:jc w:val="both"/>
            </w:pPr>
          </w:p>
          <w:p w:rsidR="001F5B71" w:rsidRDefault="00D26BCC" w:rsidP="001F5B71">
            <w:pPr>
              <w:pStyle w:val="Header"/>
              <w:jc w:val="both"/>
            </w:pPr>
          </w:p>
          <w:p w:rsidR="001F5B71" w:rsidRPr="00835628" w:rsidRDefault="00D26BCC" w:rsidP="001F5B71">
            <w:pPr>
              <w:pStyle w:val="Header"/>
              <w:jc w:val="both"/>
            </w:pPr>
          </w:p>
        </w:tc>
      </w:tr>
      <w:tr w:rsidR="00F735E4" w:rsidTr="00345119">
        <w:tc>
          <w:tcPr>
            <w:tcW w:w="9576" w:type="dxa"/>
          </w:tcPr>
          <w:p w:rsidR="008423E4" w:rsidRPr="00A8133F" w:rsidRDefault="00D26BCC" w:rsidP="001F5B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6BCC" w:rsidP="001F5B71"/>
          <w:p w:rsidR="008423E4" w:rsidRPr="003624F2" w:rsidRDefault="00D26BCC" w:rsidP="001F5B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26BCC" w:rsidP="001F5B71">
            <w:pPr>
              <w:rPr>
                <w:b/>
              </w:rPr>
            </w:pPr>
          </w:p>
        </w:tc>
      </w:tr>
    </w:tbl>
    <w:p w:rsidR="004108C3" w:rsidRPr="00513E60" w:rsidRDefault="00D26BCC" w:rsidP="008423E4">
      <w:pPr>
        <w:rPr>
          <w:sz w:val="10"/>
        </w:rPr>
      </w:pPr>
    </w:p>
    <w:sectPr w:rsidR="004108C3" w:rsidRPr="00513E60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6BCC">
      <w:r>
        <w:separator/>
      </w:r>
    </w:p>
  </w:endnote>
  <w:endnote w:type="continuationSeparator" w:id="0">
    <w:p w:rsidR="00000000" w:rsidRDefault="00D2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FE" w:rsidRDefault="00D2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35E4" w:rsidTr="009C1E9A">
      <w:trPr>
        <w:cantSplit/>
      </w:trPr>
      <w:tc>
        <w:tcPr>
          <w:tcW w:w="0" w:type="pct"/>
        </w:tcPr>
        <w:p w:rsidR="00137D90" w:rsidRDefault="00D26B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6B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6B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6B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6B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5E4" w:rsidTr="009C1E9A">
      <w:trPr>
        <w:cantSplit/>
      </w:trPr>
      <w:tc>
        <w:tcPr>
          <w:tcW w:w="0" w:type="pct"/>
        </w:tcPr>
        <w:p w:rsidR="00EC379B" w:rsidRDefault="00D26B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6B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33430</w:t>
          </w:r>
        </w:p>
      </w:tc>
      <w:tc>
        <w:tcPr>
          <w:tcW w:w="2453" w:type="pct"/>
        </w:tcPr>
        <w:p w:rsidR="00EC379B" w:rsidRDefault="00D26B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19.130.567</w:t>
          </w:r>
          <w:r>
            <w:fldChar w:fldCharType="end"/>
          </w:r>
        </w:p>
      </w:tc>
    </w:tr>
    <w:tr w:rsidR="00F735E4" w:rsidTr="009C1E9A">
      <w:trPr>
        <w:cantSplit/>
      </w:trPr>
      <w:tc>
        <w:tcPr>
          <w:tcW w:w="0" w:type="pct"/>
        </w:tcPr>
        <w:p w:rsidR="00EC379B" w:rsidRDefault="00D26B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6B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6BCC" w:rsidP="006D504F">
          <w:pPr>
            <w:pStyle w:val="Footer"/>
            <w:rPr>
              <w:rStyle w:val="PageNumber"/>
            </w:rPr>
          </w:pPr>
        </w:p>
        <w:p w:rsidR="00EC379B" w:rsidRDefault="00D26B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35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6B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D26B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6B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FE" w:rsidRDefault="00D26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6BCC">
      <w:r>
        <w:separator/>
      </w:r>
    </w:p>
  </w:footnote>
  <w:footnote w:type="continuationSeparator" w:id="0">
    <w:p w:rsidR="00000000" w:rsidRDefault="00D2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FE" w:rsidRDefault="00D2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FE" w:rsidRDefault="00D26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FE" w:rsidRDefault="00D2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616"/>
    <w:multiLevelType w:val="hybridMultilevel"/>
    <w:tmpl w:val="6574AFBE"/>
    <w:lvl w:ilvl="0" w:tplc="F5EE2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6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C9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6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F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80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7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4B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4C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3CF"/>
    <w:multiLevelType w:val="hybridMultilevel"/>
    <w:tmpl w:val="5E4869A4"/>
    <w:lvl w:ilvl="0" w:tplc="7BE6A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AA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5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8B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E7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28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A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6A1C"/>
    <w:multiLevelType w:val="hybridMultilevel"/>
    <w:tmpl w:val="19728E84"/>
    <w:lvl w:ilvl="0" w:tplc="B2E8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C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8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2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EC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08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D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4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E1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4"/>
    <w:rsid w:val="00D26BCC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F556A-84CE-4EC5-9A12-A202990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1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7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6574</Characters>
  <Application>Microsoft Office Word</Application>
  <DocSecurity>4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SB00568 (Committee Report (Unamended))</vt:lpstr>
    </vt:vector>
  </TitlesOfParts>
  <Company>State of Texas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33430</dc:subject>
  <dc:creator>State of Texas</dc:creator>
  <dc:description>SB 568 by Huffman-(H)Human Services</dc:description>
  <cp:lastModifiedBy>Stacey Nicchio</cp:lastModifiedBy>
  <cp:revision>2</cp:revision>
  <cp:lastPrinted>2019-05-06T21:57:00Z</cp:lastPrinted>
  <dcterms:created xsi:type="dcterms:W3CDTF">2019-05-10T21:00:00Z</dcterms:created>
  <dcterms:modified xsi:type="dcterms:W3CDTF">2019-05-10T21:00:00Z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19.130.567</vt:lpwstr>
  </property>
</Properties>
</file>