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47C53" w:rsidTr="00345119">
        <w:tc>
          <w:tcPr>
            <w:tcW w:w="9576" w:type="dxa"/>
            <w:noWrap/>
          </w:tcPr>
          <w:p w:rsidR="008423E4" w:rsidRPr="0022177D" w:rsidRDefault="006702CC" w:rsidP="00345119">
            <w:pPr>
              <w:pStyle w:val="Heading1"/>
            </w:pPr>
            <w:bookmarkStart w:id="0" w:name="_GoBack"/>
            <w:bookmarkEnd w:id="0"/>
            <w:r w:rsidRPr="00631897">
              <w:t>BILL ANALYSIS</w:t>
            </w:r>
          </w:p>
        </w:tc>
      </w:tr>
    </w:tbl>
    <w:p w:rsidR="008423E4" w:rsidRPr="0022177D" w:rsidRDefault="006702CC" w:rsidP="008423E4">
      <w:pPr>
        <w:jc w:val="center"/>
      </w:pPr>
    </w:p>
    <w:p w:rsidR="008423E4" w:rsidRPr="00B31F0E" w:rsidRDefault="006702CC" w:rsidP="008423E4"/>
    <w:p w:rsidR="008423E4" w:rsidRPr="00742794" w:rsidRDefault="006702CC" w:rsidP="008423E4">
      <w:pPr>
        <w:tabs>
          <w:tab w:val="right" w:pos="9360"/>
        </w:tabs>
      </w:pPr>
    </w:p>
    <w:tbl>
      <w:tblPr>
        <w:tblW w:w="0" w:type="auto"/>
        <w:tblLayout w:type="fixed"/>
        <w:tblLook w:val="01E0" w:firstRow="1" w:lastRow="1" w:firstColumn="1" w:lastColumn="1" w:noHBand="0" w:noVBand="0"/>
      </w:tblPr>
      <w:tblGrid>
        <w:gridCol w:w="9576"/>
      </w:tblGrid>
      <w:tr w:rsidR="00B47C53" w:rsidTr="00345119">
        <w:tc>
          <w:tcPr>
            <w:tcW w:w="9576" w:type="dxa"/>
          </w:tcPr>
          <w:p w:rsidR="008423E4" w:rsidRPr="00861995" w:rsidRDefault="006702CC" w:rsidP="00345119">
            <w:pPr>
              <w:jc w:val="right"/>
            </w:pPr>
            <w:r>
              <w:t>C.S.S.B. 615</w:t>
            </w:r>
          </w:p>
        </w:tc>
      </w:tr>
      <w:tr w:rsidR="00B47C53" w:rsidTr="00345119">
        <w:tc>
          <w:tcPr>
            <w:tcW w:w="9576" w:type="dxa"/>
          </w:tcPr>
          <w:p w:rsidR="008423E4" w:rsidRPr="00861995" w:rsidRDefault="006702CC" w:rsidP="00B23FBB">
            <w:pPr>
              <w:jc w:val="right"/>
            </w:pPr>
            <w:r>
              <w:t xml:space="preserve">By: </w:t>
            </w:r>
            <w:r>
              <w:t>Buckingham</w:t>
            </w:r>
          </w:p>
        </w:tc>
      </w:tr>
      <w:tr w:rsidR="00B47C53" w:rsidTr="00345119">
        <w:tc>
          <w:tcPr>
            <w:tcW w:w="9576" w:type="dxa"/>
          </w:tcPr>
          <w:p w:rsidR="008423E4" w:rsidRPr="00861995" w:rsidRDefault="006702CC" w:rsidP="00345119">
            <w:pPr>
              <w:jc w:val="right"/>
            </w:pPr>
            <w:r>
              <w:t>Insurance</w:t>
            </w:r>
          </w:p>
        </w:tc>
      </w:tr>
      <w:tr w:rsidR="00B47C53" w:rsidTr="00345119">
        <w:tc>
          <w:tcPr>
            <w:tcW w:w="9576" w:type="dxa"/>
          </w:tcPr>
          <w:p w:rsidR="008423E4" w:rsidRDefault="006702CC" w:rsidP="00345119">
            <w:pPr>
              <w:jc w:val="right"/>
            </w:pPr>
            <w:r>
              <w:t>Committee Report (Substituted)</w:t>
            </w:r>
          </w:p>
        </w:tc>
      </w:tr>
    </w:tbl>
    <w:p w:rsidR="008423E4" w:rsidRDefault="006702CC" w:rsidP="008423E4">
      <w:pPr>
        <w:tabs>
          <w:tab w:val="right" w:pos="9360"/>
        </w:tabs>
      </w:pPr>
    </w:p>
    <w:p w:rsidR="008423E4" w:rsidRDefault="006702CC" w:rsidP="008423E4"/>
    <w:p w:rsidR="008423E4" w:rsidRDefault="006702CC" w:rsidP="008423E4"/>
    <w:tbl>
      <w:tblPr>
        <w:tblW w:w="0" w:type="auto"/>
        <w:tblCellMar>
          <w:left w:w="115" w:type="dxa"/>
          <w:right w:w="115" w:type="dxa"/>
        </w:tblCellMar>
        <w:tblLook w:val="01E0" w:firstRow="1" w:lastRow="1" w:firstColumn="1" w:lastColumn="1" w:noHBand="0" w:noVBand="0"/>
      </w:tblPr>
      <w:tblGrid>
        <w:gridCol w:w="9576"/>
      </w:tblGrid>
      <w:tr w:rsidR="00B47C53" w:rsidTr="00345119">
        <w:tc>
          <w:tcPr>
            <w:tcW w:w="9576" w:type="dxa"/>
          </w:tcPr>
          <w:p w:rsidR="008423E4" w:rsidRPr="00A8133F" w:rsidRDefault="006702CC" w:rsidP="00CD50A0">
            <w:pPr>
              <w:rPr>
                <w:b/>
              </w:rPr>
            </w:pPr>
            <w:r w:rsidRPr="009C1E9A">
              <w:rPr>
                <w:b/>
                <w:u w:val="single"/>
              </w:rPr>
              <w:t>BACKGROUND AND PURPOSE</w:t>
            </w:r>
            <w:r>
              <w:rPr>
                <w:b/>
              </w:rPr>
              <w:t xml:space="preserve"> </w:t>
            </w:r>
          </w:p>
          <w:p w:rsidR="008423E4" w:rsidRDefault="006702CC" w:rsidP="00CD50A0"/>
          <w:p w:rsidR="008423E4" w:rsidRDefault="006702CC" w:rsidP="00CD50A0">
            <w:pPr>
              <w:jc w:val="both"/>
            </w:pPr>
            <w:r w:rsidRPr="00907ED8">
              <w:t xml:space="preserve">The Texas Windstorm Insurance Association (TWIA) is a nonprofit insurance provider created by the legislature in 1971 to serve as an </w:t>
            </w:r>
            <w:r w:rsidRPr="00907ED8">
              <w:t>insurer of last resort providing windstorm and hail insurance along the Texas coast to those who cannot obtain cove</w:t>
            </w:r>
            <w:r>
              <w:t xml:space="preserve">rage from the private market. </w:t>
            </w:r>
            <w:r w:rsidRPr="00907ED8">
              <w:t>The Sunset Advisory Commission adopted several recommendations that would increase the effectiveness and effici</w:t>
            </w:r>
            <w:r w:rsidRPr="00907ED8">
              <w:t>ency of TWIA's operations, improve TWIA's customer service, decrease costs to policyholders, and help ensure TWIA can respond more quickly to legislative changes. TWIA is subject to review but not abolishment under the Sunset Act; however, the commission a</w:t>
            </w:r>
            <w:r w:rsidRPr="00907ED8">
              <w:t>lso adopted a recommendation to require a Sunset review again in 12 years.</w:t>
            </w:r>
            <w:r>
              <w:t xml:space="preserve"> </w:t>
            </w:r>
            <w:r>
              <w:t>C.S.S.B.</w:t>
            </w:r>
            <w:r>
              <w:t xml:space="preserve"> 615 seeks to provide those recommendations.</w:t>
            </w:r>
          </w:p>
          <w:p w:rsidR="00176961" w:rsidRPr="00E26B13" w:rsidRDefault="006702CC" w:rsidP="00CD50A0">
            <w:pPr>
              <w:jc w:val="both"/>
              <w:rPr>
                <w:b/>
              </w:rPr>
            </w:pPr>
          </w:p>
        </w:tc>
      </w:tr>
      <w:tr w:rsidR="00B47C53" w:rsidTr="00345119">
        <w:tc>
          <w:tcPr>
            <w:tcW w:w="9576" w:type="dxa"/>
          </w:tcPr>
          <w:p w:rsidR="0017725B" w:rsidRDefault="006702CC" w:rsidP="00CD50A0">
            <w:pPr>
              <w:rPr>
                <w:b/>
                <w:u w:val="single"/>
              </w:rPr>
            </w:pPr>
            <w:r>
              <w:rPr>
                <w:b/>
                <w:u w:val="single"/>
              </w:rPr>
              <w:t>CRIMINAL JUSTICE IMPACT</w:t>
            </w:r>
          </w:p>
          <w:p w:rsidR="0017725B" w:rsidRDefault="006702CC" w:rsidP="00CD50A0">
            <w:pPr>
              <w:rPr>
                <w:b/>
                <w:u w:val="single"/>
              </w:rPr>
            </w:pPr>
          </w:p>
          <w:p w:rsidR="00A96F31" w:rsidRPr="00A96F31" w:rsidRDefault="006702CC" w:rsidP="00CD50A0">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rsidR="0017725B" w:rsidRPr="0017725B" w:rsidRDefault="006702CC" w:rsidP="00CD50A0">
            <w:pPr>
              <w:rPr>
                <w:b/>
                <w:u w:val="single"/>
              </w:rPr>
            </w:pPr>
          </w:p>
        </w:tc>
      </w:tr>
      <w:tr w:rsidR="00B47C53" w:rsidTr="00345119">
        <w:tc>
          <w:tcPr>
            <w:tcW w:w="9576" w:type="dxa"/>
          </w:tcPr>
          <w:p w:rsidR="008423E4" w:rsidRPr="00A8133F" w:rsidRDefault="006702CC" w:rsidP="00CD50A0">
            <w:pPr>
              <w:rPr>
                <w:b/>
              </w:rPr>
            </w:pPr>
            <w:r w:rsidRPr="009C1E9A">
              <w:rPr>
                <w:b/>
                <w:u w:val="single"/>
              </w:rPr>
              <w:t>RULEMAKING AUTHORITY</w:t>
            </w:r>
            <w:r>
              <w:rPr>
                <w:b/>
              </w:rPr>
              <w:t xml:space="preserve"> </w:t>
            </w:r>
          </w:p>
          <w:p w:rsidR="008423E4" w:rsidRDefault="006702CC" w:rsidP="00CD50A0"/>
          <w:p w:rsidR="00A96F31" w:rsidRDefault="006702CC" w:rsidP="00CD50A0">
            <w:pPr>
              <w:pStyle w:val="Header"/>
              <w:tabs>
                <w:tab w:val="clear" w:pos="4320"/>
                <w:tab w:val="clear" w:pos="8640"/>
              </w:tabs>
              <w:jc w:val="both"/>
            </w:pPr>
            <w:r>
              <w:t>It is the committee's opinion that rulemaking authority is e</w:t>
            </w:r>
            <w:r>
              <w:t>xpressly granted to the commissioner of insurance in SECTION</w:t>
            </w:r>
            <w:r>
              <w:t>S</w:t>
            </w:r>
            <w:r>
              <w:t xml:space="preserve"> </w:t>
            </w:r>
            <w:r>
              <w:t>15</w:t>
            </w:r>
            <w:r>
              <w:t xml:space="preserve"> and </w:t>
            </w:r>
            <w:r>
              <w:t>1</w:t>
            </w:r>
            <w:r>
              <w:t>8</w:t>
            </w:r>
            <w:r>
              <w:t xml:space="preserve"> </w:t>
            </w:r>
            <w:r>
              <w:t>of this bill.</w:t>
            </w:r>
          </w:p>
          <w:p w:rsidR="008423E4" w:rsidRPr="00E21FDC" w:rsidRDefault="006702CC" w:rsidP="00CD50A0">
            <w:pPr>
              <w:rPr>
                <w:b/>
              </w:rPr>
            </w:pPr>
          </w:p>
        </w:tc>
      </w:tr>
      <w:tr w:rsidR="00B47C53" w:rsidTr="00345119">
        <w:tc>
          <w:tcPr>
            <w:tcW w:w="9576" w:type="dxa"/>
          </w:tcPr>
          <w:p w:rsidR="008423E4" w:rsidRPr="00A8133F" w:rsidRDefault="006702CC" w:rsidP="00CD50A0">
            <w:pPr>
              <w:rPr>
                <w:b/>
              </w:rPr>
            </w:pPr>
            <w:r w:rsidRPr="009C1E9A">
              <w:rPr>
                <w:b/>
                <w:u w:val="single"/>
              </w:rPr>
              <w:t>ANALYSIS</w:t>
            </w:r>
            <w:r>
              <w:rPr>
                <w:b/>
              </w:rPr>
              <w:t xml:space="preserve"> </w:t>
            </w:r>
          </w:p>
          <w:p w:rsidR="008423E4" w:rsidRDefault="006702CC" w:rsidP="00CD50A0"/>
          <w:p w:rsidR="00A60C3F" w:rsidRDefault="006702CC" w:rsidP="00CD50A0">
            <w:pPr>
              <w:pStyle w:val="Header"/>
              <w:tabs>
                <w:tab w:val="clear" w:pos="4320"/>
                <w:tab w:val="clear" w:pos="8640"/>
              </w:tabs>
              <w:jc w:val="both"/>
            </w:pPr>
            <w:r>
              <w:t>C.S.S.B.</w:t>
            </w:r>
            <w:r>
              <w:t xml:space="preserve"> 615</w:t>
            </w:r>
            <w:r>
              <w:t xml:space="preserve"> amends the Insurance Code to change </w:t>
            </w:r>
            <w:r>
              <w:t xml:space="preserve">the </w:t>
            </w:r>
            <w:r>
              <w:t xml:space="preserve">period during which </w:t>
            </w:r>
            <w:r>
              <w:t xml:space="preserve">the </w:t>
            </w:r>
            <w:r w:rsidRPr="001A75FA">
              <w:t>Texas Windstorm Insurance Association</w:t>
            </w:r>
            <w:r>
              <w:t xml:space="preserve"> (TWIA)</w:t>
            </w:r>
            <w:r>
              <w:t xml:space="preserve"> is subject to review</w:t>
            </w:r>
            <w:r>
              <w:t xml:space="preserve"> under the Texas Sunset Act from the period in which state agencies abolished in 2019 are reviewed to </w:t>
            </w:r>
            <w:r>
              <w:t>the period in which state agencies abolished in</w:t>
            </w:r>
            <w:r>
              <w:t xml:space="preserve"> 2031</w:t>
            </w:r>
            <w:r>
              <w:t xml:space="preserve"> are reviewed</w:t>
            </w:r>
            <w:r>
              <w:t>.</w:t>
            </w:r>
            <w:r>
              <w:t xml:space="preserve"> </w:t>
            </w:r>
          </w:p>
          <w:p w:rsidR="00A60C3F" w:rsidRDefault="006702CC" w:rsidP="00CD50A0">
            <w:pPr>
              <w:pStyle w:val="Header"/>
              <w:tabs>
                <w:tab w:val="clear" w:pos="4320"/>
                <w:tab w:val="clear" w:pos="8640"/>
              </w:tabs>
              <w:jc w:val="both"/>
            </w:pPr>
          </w:p>
          <w:p w:rsidR="00B3326C" w:rsidRDefault="006702CC" w:rsidP="00CD50A0">
            <w:pPr>
              <w:pStyle w:val="Header"/>
              <w:tabs>
                <w:tab w:val="clear" w:pos="4320"/>
                <w:tab w:val="clear" w:pos="8640"/>
              </w:tabs>
              <w:jc w:val="both"/>
            </w:pPr>
            <w:r>
              <w:t>C.S.S.B.</w:t>
            </w:r>
            <w:r>
              <w:t xml:space="preserve"> 615</w:t>
            </w:r>
            <w:r>
              <w:t xml:space="preserve"> </w:t>
            </w:r>
            <w:r>
              <w:t>authorizes TWIA to propose a rule for adoption by the commissioner of in</w:t>
            </w:r>
            <w:r>
              <w:t>surance</w:t>
            </w:r>
            <w:r>
              <w:t xml:space="preserve"> and establishes </w:t>
            </w:r>
            <w:r>
              <w:t>procedures for such proposal.</w:t>
            </w:r>
            <w:r>
              <w:t xml:space="preserve"> The bill </w:t>
            </w:r>
            <w:r>
              <w:t>sets out provisions relating to public membership on</w:t>
            </w:r>
            <w:r>
              <w:t xml:space="preserve"> the board of directors of TWIA</w:t>
            </w:r>
            <w:r>
              <w:t>.</w:t>
            </w:r>
            <w:r>
              <w:t xml:space="preserve"> </w:t>
            </w:r>
          </w:p>
          <w:p w:rsidR="00B3326C" w:rsidRDefault="006702CC" w:rsidP="00CD50A0">
            <w:pPr>
              <w:pStyle w:val="Header"/>
              <w:tabs>
                <w:tab w:val="clear" w:pos="4320"/>
                <w:tab w:val="clear" w:pos="8640"/>
              </w:tabs>
              <w:jc w:val="both"/>
            </w:pPr>
          </w:p>
          <w:p w:rsidR="00494425" w:rsidRDefault="006702CC" w:rsidP="00CD50A0">
            <w:pPr>
              <w:pStyle w:val="Header"/>
              <w:tabs>
                <w:tab w:val="clear" w:pos="4320"/>
                <w:tab w:val="clear" w:pos="8640"/>
              </w:tabs>
              <w:jc w:val="both"/>
            </w:pPr>
            <w:r>
              <w:t>C.S.S.B.</w:t>
            </w:r>
            <w:r>
              <w:t xml:space="preserve"> 615</w:t>
            </w:r>
            <w:r>
              <w:t xml:space="preserve"> </w:t>
            </w:r>
            <w:r>
              <w:t>sets out provisions relating to board member training</w:t>
            </w:r>
            <w:r>
              <w:t xml:space="preserve">; </w:t>
            </w:r>
            <w:r>
              <w:t xml:space="preserve">requires TWIA, not later than January </w:t>
            </w:r>
            <w:r>
              <w:t>1, 2020, to provide for the training program</w:t>
            </w:r>
            <w:r>
              <w:t xml:space="preserve">; </w:t>
            </w:r>
            <w:r>
              <w:t xml:space="preserve">and </w:t>
            </w:r>
            <w:r>
              <w:t xml:space="preserve">requires an appointee, before the appointee may </w:t>
            </w:r>
            <w:r w:rsidRPr="00A81EFD">
              <w:t>vote, deliberate, or be counted as a member in attendance at a meeting of the board</w:t>
            </w:r>
            <w:r>
              <w:t xml:space="preserve"> </w:t>
            </w:r>
            <w:r>
              <w:t xml:space="preserve">held on or after January 1, 2020, </w:t>
            </w:r>
            <w:r>
              <w:t xml:space="preserve">to complete </w:t>
            </w:r>
            <w:r>
              <w:t xml:space="preserve">the </w:t>
            </w:r>
            <w:r>
              <w:t>training program.</w:t>
            </w:r>
            <w:r>
              <w:t xml:space="preserve"> </w:t>
            </w:r>
            <w:r>
              <w:t xml:space="preserve">A member </w:t>
            </w:r>
            <w:r>
              <w:t xml:space="preserve">affected by these provisions who </w:t>
            </w:r>
            <w:r>
              <w:t xml:space="preserve">is </w:t>
            </w:r>
            <w:r>
              <w:t xml:space="preserve">serving on the board immediately before the effective date of the bill </w:t>
            </w:r>
            <w:r>
              <w:t xml:space="preserve">is </w:t>
            </w:r>
            <w:r>
              <w:t xml:space="preserve">entitled to continue </w:t>
            </w:r>
            <w:r w:rsidRPr="00202A87">
              <w:t>to serve on the board for the remainder of the term to which the member was appointed.</w:t>
            </w:r>
            <w:r>
              <w:t xml:space="preserve"> </w:t>
            </w:r>
            <w:r>
              <w:t xml:space="preserve">The bill requires </w:t>
            </w:r>
            <w:r>
              <w:t>public disc</w:t>
            </w:r>
            <w:r>
              <w:t xml:space="preserve">losure of conflicts of interest for </w:t>
            </w:r>
            <w:r>
              <w:t xml:space="preserve">a member of the board or a member of a subcommittee of the board </w:t>
            </w:r>
            <w:r w:rsidRPr="00252710">
              <w:t xml:space="preserve">that relate to underwriting and actuarial </w:t>
            </w:r>
            <w:r>
              <w:t>matters</w:t>
            </w:r>
            <w:r>
              <w:t xml:space="preserve"> and sets out matters related to that requirement</w:t>
            </w:r>
            <w:r>
              <w:t xml:space="preserve">. </w:t>
            </w:r>
          </w:p>
          <w:p w:rsidR="00EC15B3" w:rsidRPr="00F935D8" w:rsidRDefault="006702CC" w:rsidP="00CD50A0">
            <w:pPr>
              <w:pStyle w:val="Header"/>
              <w:tabs>
                <w:tab w:val="clear" w:pos="4320"/>
                <w:tab w:val="clear" w:pos="8640"/>
              </w:tabs>
              <w:jc w:val="both"/>
              <w:rPr>
                <w:sz w:val="22"/>
              </w:rPr>
            </w:pPr>
          </w:p>
          <w:p w:rsidR="00EC15B3" w:rsidRDefault="006702CC" w:rsidP="00CD50A0">
            <w:pPr>
              <w:pStyle w:val="Header"/>
              <w:tabs>
                <w:tab w:val="clear" w:pos="4320"/>
                <w:tab w:val="clear" w:pos="8640"/>
              </w:tabs>
              <w:jc w:val="both"/>
            </w:pPr>
            <w:r>
              <w:t>C.S.S.B.</w:t>
            </w:r>
            <w:r>
              <w:t xml:space="preserve"> 615</w:t>
            </w:r>
            <w:r>
              <w:t xml:space="preserve"> </w:t>
            </w:r>
            <w:r>
              <w:t xml:space="preserve">requires TWIA to establish </w:t>
            </w:r>
            <w:r w:rsidRPr="00131584">
              <w:t>a process for</w:t>
            </w:r>
            <w:r w:rsidRPr="00131584">
              <w:t xml:space="preserve"> automatic renewal of a policy</w:t>
            </w:r>
            <w:r>
              <w:t xml:space="preserve"> and sets out requirements for the process. </w:t>
            </w:r>
            <w:r>
              <w:t>T</w:t>
            </w:r>
            <w:r>
              <w:t xml:space="preserve">he bill requires TWIA to </w:t>
            </w:r>
            <w:r w:rsidRPr="00667F1D">
              <w:t>accept pa</w:t>
            </w:r>
            <w:r>
              <w:t xml:space="preserve">yment of premium by credit card, authorizes TWIA to </w:t>
            </w:r>
            <w:r w:rsidRPr="00667F1D">
              <w:t>impose a fee on a policyholder for the use of a credit card</w:t>
            </w:r>
            <w:r>
              <w:t xml:space="preserve">, and </w:t>
            </w:r>
            <w:r>
              <w:t>limits</w:t>
            </w:r>
            <w:r>
              <w:t xml:space="preserve"> the fee </w:t>
            </w:r>
            <w:r>
              <w:t>to an amount ne</w:t>
            </w:r>
            <w:r>
              <w:t>cessary for cost</w:t>
            </w:r>
            <w:r>
              <w:t xml:space="preserve"> </w:t>
            </w:r>
            <w:r>
              <w:t>recovery.</w:t>
            </w:r>
            <w:r>
              <w:t xml:space="preserve"> The bill requires TWIA to </w:t>
            </w:r>
            <w:r w:rsidRPr="003E0494">
              <w:t xml:space="preserve">provide to policyholders the option </w:t>
            </w:r>
            <w:r>
              <w:t xml:space="preserve">of installment </w:t>
            </w:r>
            <w:r w:rsidRPr="003E0494">
              <w:t>premium</w:t>
            </w:r>
            <w:r>
              <w:t xml:space="preserve"> payments</w:t>
            </w:r>
            <w:r w:rsidRPr="003E0494">
              <w:t>. A policyholder that pays premium</w:t>
            </w:r>
            <w:r>
              <w:t>s</w:t>
            </w:r>
            <w:r w:rsidRPr="003E0494">
              <w:t xml:space="preserve"> in accordance with </w:t>
            </w:r>
            <w:r>
              <w:t xml:space="preserve">such </w:t>
            </w:r>
            <w:r w:rsidRPr="003E0494">
              <w:t xml:space="preserve">an installment payment plan and remains current on the payments satisfies </w:t>
            </w:r>
            <w:r w:rsidRPr="003E0494">
              <w:t>the obligation for payment of premium.</w:t>
            </w:r>
            <w:r>
              <w:t xml:space="preserve"> The bill </w:t>
            </w:r>
            <w:r>
              <w:t xml:space="preserve">expressly </w:t>
            </w:r>
            <w:r>
              <w:t>does not require TWIA to comply with the</w:t>
            </w:r>
            <w:r>
              <w:t xml:space="preserve"> bill's</w:t>
            </w:r>
            <w:r>
              <w:t xml:space="preserve"> provisions</w:t>
            </w:r>
            <w:r>
              <w:t xml:space="preserve"> relating to</w:t>
            </w:r>
            <w:r>
              <w:t xml:space="preserve"> automatic renewal </w:t>
            </w:r>
            <w:r>
              <w:t>before January 1, 2020</w:t>
            </w:r>
            <w:r>
              <w:t>, or the bill's provisions relating to premium payment methods before January 1, 2021.</w:t>
            </w:r>
          </w:p>
          <w:p w:rsidR="00A1297F" w:rsidRDefault="006702CC" w:rsidP="00CD50A0">
            <w:pPr>
              <w:pStyle w:val="Header"/>
              <w:tabs>
                <w:tab w:val="clear" w:pos="4320"/>
                <w:tab w:val="clear" w:pos="8640"/>
              </w:tabs>
              <w:jc w:val="both"/>
            </w:pPr>
          </w:p>
          <w:p w:rsidR="00A00226" w:rsidRDefault="006702CC" w:rsidP="00CD50A0">
            <w:pPr>
              <w:pStyle w:val="Header"/>
              <w:jc w:val="both"/>
              <w:rPr>
                <w:highlight w:val="lightGray"/>
              </w:rPr>
            </w:pPr>
            <w:r>
              <w:t>C.S.S.B.</w:t>
            </w:r>
            <w:r w:rsidRPr="00943431">
              <w:t xml:space="preserve"> 615</w:t>
            </w:r>
            <w:r w:rsidRPr="00943431">
              <w:t xml:space="preserve"> </w:t>
            </w:r>
            <w:r w:rsidRPr="00943431">
              <w:t xml:space="preserve">authorizes TWIA to provide for supplemental payments under a TWIA-issued </w:t>
            </w:r>
            <w:r w:rsidRPr="00943431">
              <w:t>wind</w:t>
            </w:r>
            <w:r w:rsidRPr="00943431">
              <w:t>storm and hail insurance policy</w:t>
            </w:r>
            <w:r w:rsidRPr="00943431">
              <w:t xml:space="preserve"> </w:t>
            </w:r>
            <w:r w:rsidRPr="00BF671F">
              <w:t xml:space="preserve">and </w:t>
            </w:r>
            <w:r w:rsidRPr="00943431">
              <w:t>requi</w:t>
            </w:r>
            <w:r>
              <w:t xml:space="preserve">res the commissioner to </w:t>
            </w:r>
            <w:r w:rsidRPr="00A82B6C">
              <w:t>adopt rules clarifying the deadlines r</w:t>
            </w:r>
            <w:r>
              <w:t xml:space="preserve">elated to supplemental payments and to </w:t>
            </w:r>
            <w:r w:rsidRPr="00A82B6C">
              <w:t>solicit and consider co</w:t>
            </w:r>
            <w:r w:rsidRPr="00A82B6C">
              <w:t xml:space="preserve">mments from </w:t>
            </w:r>
            <w:r>
              <w:t>TWIA</w:t>
            </w:r>
            <w:r>
              <w:t>,</w:t>
            </w:r>
            <w:r>
              <w:t xml:space="preserve"> TWIA</w:t>
            </w:r>
            <w:r w:rsidRPr="00A82B6C">
              <w:t xml:space="preserve"> members</w:t>
            </w:r>
            <w:r>
              <w:t>,</w:t>
            </w:r>
            <w:r>
              <w:t xml:space="preserve"> </w:t>
            </w:r>
            <w:r w:rsidRPr="00A82B6C">
              <w:t xml:space="preserve">and policyholders in adopting </w:t>
            </w:r>
            <w:r>
              <w:t xml:space="preserve">the </w:t>
            </w:r>
            <w:r w:rsidRPr="00A82B6C">
              <w:t>rules.</w:t>
            </w:r>
            <w:r>
              <w:t xml:space="preserve"> The bill requires the rules to </w:t>
            </w:r>
            <w:r w:rsidRPr="00A82B6C">
              <w:t xml:space="preserve">ensure that a request for supplemental payment will not impair a policyholder's right to appraisal under </w:t>
            </w:r>
            <w:r>
              <w:t xml:space="preserve">statutory provisions relating to </w:t>
            </w:r>
            <w:r w:rsidRPr="00A82B6C">
              <w:t>disputes conce</w:t>
            </w:r>
            <w:r w:rsidRPr="00A82B6C">
              <w:t>rning amount of accepted coverage</w:t>
            </w:r>
            <w:r>
              <w:t xml:space="preserve"> and requires the commissioner to adopt or amend the rules not later than June 1, 2020</w:t>
            </w:r>
            <w:r w:rsidRPr="00A82B6C">
              <w:t>.</w:t>
            </w:r>
          </w:p>
          <w:p w:rsidR="00A00226" w:rsidRDefault="006702CC" w:rsidP="00CD50A0">
            <w:pPr>
              <w:pStyle w:val="Header"/>
              <w:jc w:val="both"/>
              <w:rPr>
                <w:highlight w:val="lightGray"/>
              </w:rPr>
            </w:pPr>
          </w:p>
          <w:p w:rsidR="00AA0318" w:rsidRDefault="006702CC" w:rsidP="00CD50A0">
            <w:pPr>
              <w:pStyle w:val="Header"/>
              <w:jc w:val="both"/>
            </w:pPr>
            <w:r>
              <w:t>C.S.S.B.</w:t>
            </w:r>
            <w:r w:rsidRPr="00BF671F">
              <w:t xml:space="preserve"> 615</w:t>
            </w:r>
            <w:r w:rsidRPr="0078749A">
              <w:t xml:space="preserve"> requires </w:t>
            </w:r>
            <w:r w:rsidRPr="00BF671F">
              <w:t>a TWIA-issued windstorm and hail insurance policy</w:t>
            </w:r>
            <w:r w:rsidRPr="0078749A">
              <w:t xml:space="preserve"> </w:t>
            </w:r>
            <w:r w:rsidRPr="0078749A">
              <w:t xml:space="preserve">delivered, </w:t>
            </w:r>
            <w:r w:rsidRPr="0078749A">
              <w:t>issued for delivery</w:t>
            </w:r>
            <w:r w:rsidRPr="0078749A">
              <w:t>,</w:t>
            </w:r>
            <w:r w:rsidRPr="0078749A">
              <w:t xml:space="preserve"> or renewed on or after </w:t>
            </w:r>
            <w:r w:rsidRPr="0078749A">
              <w:t xml:space="preserve">July </w:t>
            </w:r>
            <w:r w:rsidRPr="0078749A">
              <w:t xml:space="preserve">1, 2020, </w:t>
            </w:r>
            <w:r w:rsidRPr="0078749A">
              <w:t xml:space="preserve">and certain </w:t>
            </w:r>
            <w:r w:rsidRPr="0078749A">
              <w:t xml:space="preserve">notifications </w:t>
            </w:r>
            <w:r w:rsidRPr="0078749A">
              <w:t xml:space="preserve">provided to claimants </w:t>
            </w:r>
            <w:r w:rsidRPr="0078749A">
              <w:t xml:space="preserve">with respect to a claim submitted under a policy delivered, issued for delivery, or renewed on or after that date </w:t>
            </w:r>
            <w:r w:rsidRPr="0078749A">
              <w:t xml:space="preserve">to </w:t>
            </w:r>
            <w:r w:rsidRPr="0078749A">
              <w:t>contain a</w:t>
            </w:r>
            <w:r w:rsidRPr="0078749A">
              <w:t xml:space="preserve"> notice concerning the availability of </w:t>
            </w:r>
            <w:r w:rsidRPr="0078749A">
              <w:t xml:space="preserve">supplemental </w:t>
            </w:r>
            <w:r w:rsidRPr="0078749A">
              <w:t>payments</w:t>
            </w:r>
            <w:r w:rsidRPr="0078749A">
              <w:t>.</w:t>
            </w:r>
            <w:r>
              <w:t xml:space="preserve"> </w:t>
            </w:r>
          </w:p>
          <w:p w:rsidR="009B1082" w:rsidRDefault="006702CC" w:rsidP="00CD50A0">
            <w:pPr>
              <w:pStyle w:val="Header"/>
              <w:jc w:val="both"/>
            </w:pPr>
          </w:p>
          <w:p w:rsidR="008A22D7" w:rsidRDefault="006702CC" w:rsidP="00CD50A0">
            <w:pPr>
              <w:pStyle w:val="Header"/>
              <w:jc w:val="both"/>
            </w:pPr>
            <w:r>
              <w:t>C.S.S.B.</w:t>
            </w:r>
            <w:r>
              <w:t xml:space="preserve"> </w:t>
            </w:r>
            <w:r>
              <w:t>615</w:t>
            </w:r>
            <w:r>
              <w:t xml:space="preserve"> changes from </w:t>
            </w:r>
            <w:r>
              <w:t xml:space="preserve">at </w:t>
            </w:r>
            <w:r>
              <w:t>the time of</w:t>
            </w:r>
            <w:r>
              <w:t xml:space="preserve"> loss to the effective date of a TWIA policy the </w:t>
            </w:r>
            <w:r>
              <w:t xml:space="preserve">time for assessing the replacement </w:t>
            </w:r>
            <w:r>
              <w:t xml:space="preserve">cost of </w:t>
            </w:r>
            <w:r>
              <w:t xml:space="preserve">property </w:t>
            </w:r>
            <w:r>
              <w:t>for</w:t>
            </w:r>
            <w:r>
              <w:t xml:space="preserve"> coverage under </w:t>
            </w:r>
            <w:r>
              <w:t>an applicable</w:t>
            </w:r>
            <w:r>
              <w:t xml:space="preserve"> policy </w:t>
            </w:r>
            <w:r>
              <w:t xml:space="preserve">delivered, </w:t>
            </w:r>
            <w:r>
              <w:t>issued for delivery</w:t>
            </w:r>
            <w:r>
              <w:t>,</w:t>
            </w:r>
            <w:r w:rsidRPr="002B6CFC">
              <w:t xml:space="preserve"> or renewed on or after January 1, 2020</w:t>
            </w:r>
            <w:r>
              <w:t>.</w:t>
            </w:r>
            <w:r>
              <w:t xml:space="preserve"> </w:t>
            </w:r>
          </w:p>
          <w:p w:rsidR="001B418E" w:rsidRDefault="006702CC" w:rsidP="00CD50A0">
            <w:pPr>
              <w:pStyle w:val="Header"/>
              <w:jc w:val="both"/>
            </w:pPr>
          </w:p>
          <w:p w:rsidR="003D780D" w:rsidRDefault="006702CC" w:rsidP="00CD50A0">
            <w:pPr>
              <w:pStyle w:val="Header"/>
              <w:jc w:val="both"/>
            </w:pPr>
            <w:r>
              <w:t>C.S.S.B.</w:t>
            </w:r>
            <w:r>
              <w:t xml:space="preserve"> 6</w:t>
            </w:r>
            <w:r>
              <w:t>15</w:t>
            </w:r>
            <w:r>
              <w:t xml:space="preserve"> </w:t>
            </w:r>
            <w:r>
              <w:t>prohibits the rules required to be adopted by the commissioner establishing the procedure for the transfer of policies</w:t>
            </w:r>
            <w:r>
              <w:t xml:space="preserve"> under the assumption reinsurance depopulation program</w:t>
            </w:r>
            <w:r>
              <w:t xml:space="preserve"> </w:t>
            </w:r>
            <w:r>
              <w:t xml:space="preserve">from </w:t>
            </w:r>
            <w:r w:rsidRPr="00B04BB9">
              <w:t>contain</w:t>
            </w:r>
            <w:r>
              <w:t>ing</w:t>
            </w:r>
            <w:r w:rsidRPr="00B04BB9">
              <w:t xml:space="preserve"> deadlines that require a property and casualty insurer or agent </w:t>
            </w:r>
            <w:r w:rsidRPr="00B04BB9">
              <w:t xml:space="preserve">or a policyholder </w:t>
            </w:r>
            <w:r w:rsidRPr="00780445">
              <w:t xml:space="preserve">to take action or make a decision on or after June 1 or before December 1 in any year. The bill changes </w:t>
            </w:r>
            <w:r w:rsidRPr="00780445">
              <w:t>the program</w:t>
            </w:r>
            <w:r>
              <w:t>'</w:t>
            </w:r>
            <w:r w:rsidRPr="00780445">
              <w:t>s opt-out period and removes the specified policy commencement date</w:t>
            </w:r>
            <w:r w:rsidRPr="00780445">
              <w:t>.</w:t>
            </w:r>
            <w:r w:rsidRPr="00780445">
              <w:t xml:space="preserve"> The bill requires the commissioner </w:t>
            </w:r>
            <w:r w:rsidRPr="00BF671F">
              <w:t xml:space="preserve">to </w:t>
            </w:r>
            <w:r w:rsidRPr="00BF671F">
              <w:t>adopt or amend rules as required by these provisions no</w:t>
            </w:r>
            <w:r>
              <w:t>t</w:t>
            </w:r>
            <w:r w:rsidRPr="00BF671F">
              <w:t xml:space="preserve"> later than</w:t>
            </w:r>
            <w:r w:rsidRPr="00BF671F">
              <w:t xml:space="preserve"> March 31, 2020</w:t>
            </w:r>
            <w:r w:rsidRPr="00BF671F">
              <w:t>.</w:t>
            </w:r>
            <w:r>
              <w:t xml:space="preserve"> </w:t>
            </w:r>
          </w:p>
          <w:p w:rsidR="003D780D" w:rsidRDefault="006702CC" w:rsidP="00CD50A0">
            <w:pPr>
              <w:pStyle w:val="Header"/>
              <w:jc w:val="both"/>
            </w:pPr>
          </w:p>
          <w:p w:rsidR="00AF6B98" w:rsidRDefault="006702CC" w:rsidP="00CD50A0">
            <w:pPr>
              <w:pStyle w:val="Header"/>
              <w:jc w:val="both"/>
            </w:pPr>
            <w:r>
              <w:t>C.S.S.B.</w:t>
            </w:r>
            <w:r>
              <w:t xml:space="preserve"> 615</w:t>
            </w:r>
            <w:r>
              <w:t xml:space="preserve"> </w:t>
            </w:r>
            <w:r>
              <w:t>transfers</w:t>
            </w:r>
            <w:r>
              <w:t xml:space="preserve"> from </w:t>
            </w:r>
            <w:r>
              <w:t xml:space="preserve">TWIA </w:t>
            </w:r>
            <w:r>
              <w:t xml:space="preserve">to </w:t>
            </w:r>
            <w:r>
              <w:t xml:space="preserve">the </w:t>
            </w:r>
            <w:r w:rsidRPr="0078051E">
              <w:t>Texas Department of Insurance</w:t>
            </w:r>
            <w:r>
              <w:t xml:space="preserve"> (TDI)</w:t>
            </w:r>
            <w:r>
              <w:t xml:space="preserve"> the</w:t>
            </w:r>
            <w:r>
              <w:t xml:space="preserve"> duties relating to the</w:t>
            </w:r>
            <w:r>
              <w:t xml:space="preserve"> iss</w:t>
            </w:r>
            <w:r>
              <w:t>uance of</w:t>
            </w:r>
            <w:r>
              <w:t xml:space="preserve"> </w:t>
            </w:r>
            <w:r>
              <w:t>certificates</w:t>
            </w:r>
            <w:r>
              <w:t xml:space="preserve"> of</w:t>
            </w:r>
            <w:r>
              <w:t xml:space="preserve"> </w:t>
            </w:r>
            <w:r>
              <w:t xml:space="preserve">compliance with applicable building codes </w:t>
            </w:r>
            <w:r w:rsidRPr="0078051E">
              <w:t>for a completed improvement</w:t>
            </w:r>
            <w:r>
              <w:t xml:space="preserve"> to a </w:t>
            </w:r>
            <w:r w:rsidRPr="0078051E">
              <w:t>structure</w:t>
            </w:r>
            <w:r>
              <w:t xml:space="preserve"> </w:t>
            </w:r>
            <w:r w:rsidRPr="00D64F90">
              <w:t>for which coverage is sought under the Texas Windstorm Insurance Association Act</w:t>
            </w:r>
            <w:r>
              <w:t xml:space="preserve">, </w:t>
            </w:r>
            <w:r>
              <w:t xml:space="preserve">clarifies </w:t>
            </w:r>
            <w:r>
              <w:t>documentation requirements for an engineer</w:t>
            </w:r>
            <w:r>
              <w:t>'</w:t>
            </w:r>
            <w:r>
              <w:t>s post</w:t>
            </w:r>
            <w:r>
              <w:noBreakHyphen/>
            </w:r>
            <w:r>
              <w:t>construction evaluation repor</w:t>
            </w:r>
            <w:r>
              <w:t xml:space="preserve">t submitted with </w:t>
            </w:r>
            <w:r>
              <w:t>a</w:t>
            </w:r>
            <w:r>
              <w:t xml:space="preserve"> </w:t>
            </w:r>
            <w:r>
              <w:t xml:space="preserve">certificate </w:t>
            </w:r>
            <w:r>
              <w:t>application,</w:t>
            </w:r>
            <w:r>
              <w:t xml:space="preserve"> and </w:t>
            </w:r>
            <w:r>
              <w:t>expressly authorizes TDI to deny a</w:t>
            </w:r>
            <w:r>
              <w:t xml:space="preserve"> </w:t>
            </w:r>
            <w:r>
              <w:t xml:space="preserve">certificate </w:t>
            </w:r>
            <w:r>
              <w:t xml:space="preserve">application if </w:t>
            </w:r>
            <w:r>
              <w:t xml:space="preserve">an </w:t>
            </w:r>
            <w:r>
              <w:t>engineer</w:t>
            </w:r>
            <w:r>
              <w:t>'</w:t>
            </w:r>
            <w:r>
              <w:t xml:space="preserve">s evaluation report does not meet documentation requirements. The </w:t>
            </w:r>
            <w:r>
              <w:t xml:space="preserve">certificate is conditional on an engineer affirming the improvement was </w:t>
            </w:r>
            <w:r>
              <w:t>constructed in accordance with the design</w:t>
            </w:r>
            <w:r>
              <w:t>.</w:t>
            </w:r>
            <w:r>
              <w:t xml:space="preserve"> </w:t>
            </w:r>
            <w:r>
              <w:t xml:space="preserve">The bill authorizes </w:t>
            </w:r>
            <w:r>
              <w:t xml:space="preserve">TDI </w:t>
            </w:r>
            <w:r>
              <w:t xml:space="preserve">to </w:t>
            </w:r>
            <w:r w:rsidRPr="002341B2">
              <w:t>submit a formal complaint</w:t>
            </w:r>
            <w:r>
              <w:t xml:space="preserve"> under </w:t>
            </w:r>
            <w:r w:rsidRPr="004F1C92">
              <w:t>The Texas Engineering Practice Act</w:t>
            </w:r>
            <w:r w:rsidRPr="002341B2">
              <w:t xml:space="preserve"> to the Texas Board of Professional Engineers re</w:t>
            </w:r>
            <w:r w:rsidRPr="002341B2">
              <w:t>lated to the</w:t>
            </w:r>
            <w:r>
              <w:t xml:space="preserve"> </w:t>
            </w:r>
            <w:r w:rsidRPr="002341B2">
              <w:t>work of a professional engineer as reflected in materials submitted</w:t>
            </w:r>
            <w:r>
              <w:t xml:space="preserve"> </w:t>
            </w:r>
            <w:r>
              <w:t>with the certificate</w:t>
            </w:r>
            <w:r>
              <w:t xml:space="preserve"> application</w:t>
            </w:r>
            <w:r>
              <w:t>.</w:t>
            </w:r>
            <w:r>
              <w:t xml:space="preserve"> The bill makes these provisions applicable only to an application for a certificate of compliance made on or after June 1, </w:t>
            </w:r>
            <w:r>
              <w:t>2020</w:t>
            </w:r>
            <w:r>
              <w:t>.</w:t>
            </w:r>
            <w:r>
              <w:t xml:space="preserve"> The bill </w:t>
            </w:r>
            <w:r>
              <w:t>est</w:t>
            </w:r>
            <w:r>
              <w:t>ablishes</w:t>
            </w:r>
            <w:r>
              <w:t xml:space="preserve"> that its changes</w:t>
            </w:r>
            <w:r>
              <w:t xml:space="preserve"> reflecting transfer of the duty to issue a</w:t>
            </w:r>
            <w:r>
              <w:t xml:space="preserve"> certificate of compliance</w:t>
            </w:r>
            <w:r>
              <w:t>,</w:t>
            </w:r>
            <w:r>
              <w:t xml:space="preserve"> </w:t>
            </w:r>
            <w:r>
              <w:t xml:space="preserve">for purposes of </w:t>
            </w:r>
            <w:r>
              <w:t>demonstrating compliance under the plan of operation</w:t>
            </w:r>
            <w:r>
              <w:t>, do not affect the status of a certificate of compliance issued by TWI</w:t>
            </w:r>
            <w:r>
              <w:t>A</w:t>
            </w:r>
            <w:r>
              <w:t xml:space="preserve"> before June 1, </w:t>
            </w:r>
            <w:r>
              <w:t>2020</w:t>
            </w:r>
            <w:r>
              <w:t xml:space="preserve">, or after June 1, </w:t>
            </w:r>
            <w:r>
              <w:t>2020</w:t>
            </w:r>
            <w:r>
              <w:t xml:space="preserve">, in response to an application made before that date for purposes of establishing evidence of insurability. </w:t>
            </w:r>
          </w:p>
          <w:p w:rsidR="00397B62" w:rsidRPr="00F935D8" w:rsidRDefault="006702CC" w:rsidP="00CD50A0">
            <w:pPr>
              <w:pStyle w:val="Header"/>
              <w:tabs>
                <w:tab w:val="clear" w:pos="4320"/>
                <w:tab w:val="clear" w:pos="8640"/>
              </w:tabs>
              <w:jc w:val="both"/>
              <w:rPr>
                <w:sz w:val="22"/>
              </w:rPr>
            </w:pPr>
          </w:p>
          <w:p w:rsidR="00397B62" w:rsidRDefault="006702CC" w:rsidP="00CD50A0">
            <w:pPr>
              <w:pStyle w:val="Header"/>
              <w:tabs>
                <w:tab w:val="clear" w:pos="4320"/>
                <w:tab w:val="clear" w:pos="8640"/>
              </w:tabs>
              <w:jc w:val="both"/>
            </w:pPr>
            <w:r>
              <w:t>C.S.S.B.</w:t>
            </w:r>
            <w:r>
              <w:t xml:space="preserve"> 615</w:t>
            </w:r>
            <w:r>
              <w:t xml:space="preserve"> </w:t>
            </w:r>
            <w:r w:rsidRPr="00DB3752">
              <w:t>requires TWIA</w:t>
            </w:r>
            <w:r>
              <w:t xml:space="preserve"> to make </w:t>
            </w:r>
            <w:r>
              <w:t>its</w:t>
            </w:r>
            <w:r>
              <w:t xml:space="preserve"> rate </w:t>
            </w:r>
            <w:r>
              <w:t xml:space="preserve">adequacy analysis </w:t>
            </w:r>
            <w:r>
              <w:t>publicl</w:t>
            </w:r>
            <w:r>
              <w:t>y available on it</w:t>
            </w:r>
            <w:r>
              <w:t xml:space="preserve">s website for at least </w:t>
            </w:r>
            <w:r>
              <w:t xml:space="preserve">14 </w:t>
            </w:r>
            <w:r>
              <w:t>days befor</w:t>
            </w:r>
            <w:r>
              <w:t>e the date TWIA</w:t>
            </w:r>
            <w:r>
              <w:t>'</w:t>
            </w:r>
            <w:r>
              <w:t xml:space="preserve">s board of directors votes on the submission of </w:t>
            </w:r>
            <w:r>
              <w:t xml:space="preserve">a </w:t>
            </w:r>
            <w:r>
              <w:t xml:space="preserve">proposed rate filing </w:t>
            </w:r>
            <w:r>
              <w:t xml:space="preserve">based on the analysis </w:t>
            </w:r>
            <w:r>
              <w:t xml:space="preserve">to TDI and to accept public comment with respect to </w:t>
            </w:r>
            <w:r>
              <w:t>the</w:t>
            </w:r>
            <w:r>
              <w:t xml:space="preserve"> </w:t>
            </w:r>
            <w:r>
              <w:t xml:space="preserve">analysis </w:t>
            </w:r>
            <w:r>
              <w:t>at a public meeting of the board before the board votes on the submission.</w:t>
            </w:r>
            <w:r>
              <w:t xml:space="preserve"> The </w:t>
            </w:r>
            <w:r>
              <w:t xml:space="preserve">bill </w:t>
            </w:r>
            <w:r>
              <w:t>requires the</w:t>
            </w:r>
            <w:r>
              <w:t xml:space="preserve"> analysis to include all user selected hurricane model input assumptions and </w:t>
            </w:r>
            <w:r>
              <w:t>certain output data as specified by the bill</w:t>
            </w:r>
            <w:r>
              <w:t>.</w:t>
            </w:r>
            <w:r>
              <w:t xml:space="preserve"> </w:t>
            </w:r>
          </w:p>
          <w:p w:rsidR="00A1297F" w:rsidRDefault="006702CC" w:rsidP="00CD50A0">
            <w:pPr>
              <w:pStyle w:val="Header"/>
              <w:tabs>
                <w:tab w:val="clear" w:pos="4320"/>
                <w:tab w:val="clear" w:pos="8640"/>
              </w:tabs>
              <w:jc w:val="both"/>
            </w:pPr>
          </w:p>
          <w:p w:rsidR="00EC15B3" w:rsidRDefault="006702CC" w:rsidP="00CD50A0">
            <w:pPr>
              <w:pStyle w:val="Header"/>
              <w:tabs>
                <w:tab w:val="clear" w:pos="4320"/>
                <w:tab w:val="clear" w:pos="8640"/>
              </w:tabs>
              <w:jc w:val="both"/>
            </w:pPr>
            <w:r>
              <w:t>C.S.S.B.</w:t>
            </w:r>
            <w:r>
              <w:t xml:space="preserve"> 615</w:t>
            </w:r>
            <w:r>
              <w:t xml:space="preserve"> repeals </w:t>
            </w:r>
            <w:r w:rsidRPr="00EC15B3">
              <w:t>Section 2210.107(b), Insurance Code</w:t>
            </w:r>
            <w:r>
              <w:t>, which requires TWIA's general manager to submit to the b</w:t>
            </w:r>
            <w:r>
              <w:t xml:space="preserve">oard </w:t>
            </w:r>
            <w:r>
              <w:t xml:space="preserve">of directors </w:t>
            </w:r>
            <w:r>
              <w:t xml:space="preserve">every two months a report evaluating the extent to which TWIA met </w:t>
            </w:r>
            <w:r>
              <w:t xml:space="preserve">certain </w:t>
            </w:r>
            <w:r>
              <w:t xml:space="preserve">primary </w:t>
            </w:r>
            <w:r>
              <w:t>objectives</w:t>
            </w:r>
            <w:r>
              <w:t xml:space="preserve"> of </w:t>
            </w:r>
            <w:r>
              <w:t>the board</w:t>
            </w:r>
            <w:r>
              <w:t xml:space="preserve"> i</w:t>
            </w:r>
            <w:r w:rsidRPr="00032522">
              <w:t>n the two-month period immediately preceding the date of the report</w:t>
            </w:r>
            <w:r w:rsidRPr="001B5549">
              <w:t>.</w:t>
            </w:r>
          </w:p>
          <w:p w:rsidR="008423E4" w:rsidRPr="00835628" w:rsidRDefault="006702CC" w:rsidP="00CD50A0">
            <w:pPr>
              <w:rPr>
                <w:b/>
              </w:rPr>
            </w:pPr>
          </w:p>
        </w:tc>
      </w:tr>
      <w:tr w:rsidR="00B47C53" w:rsidTr="00345119">
        <w:tc>
          <w:tcPr>
            <w:tcW w:w="9576" w:type="dxa"/>
          </w:tcPr>
          <w:p w:rsidR="008423E4" w:rsidRPr="00A8133F" w:rsidRDefault="006702CC" w:rsidP="00CD50A0">
            <w:pPr>
              <w:rPr>
                <w:b/>
              </w:rPr>
            </w:pPr>
            <w:r w:rsidRPr="009C1E9A">
              <w:rPr>
                <w:b/>
                <w:u w:val="single"/>
              </w:rPr>
              <w:t>EFFECTIVE DATE</w:t>
            </w:r>
            <w:r>
              <w:rPr>
                <w:b/>
              </w:rPr>
              <w:t xml:space="preserve"> </w:t>
            </w:r>
          </w:p>
          <w:p w:rsidR="008423E4" w:rsidRDefault="006702CC" w:rsidP="00CD50A0"/>
          <w:p w:rsidR="008423E4" w:rsidRPr="003624F2" w:rsidRDefault="006702CC" w:rsidP="00CD50A0">
            <w:pPr>
              <w:pStyle w:val="Header"/>
              <w:tabs>
                <w:tab w:val="clear" w:pos="4320"/>
                <w:tab w:val="clear" w:pos="8640"/>
              </w:tabs>
              <w:jc w:val="both"/>
            </w:pPr>
            <w:r>
              <w:t>September 1, 2019.</w:t>
            </w:r>
          </w:p>
          <w:p w:rsidR="008423E4" w:rsidRPr="00233FDB" w:rsidRDefault="006702CC" w:rsidP="00CD50A0">
            <w:pPr>
              <w:rPr>
                <w:b/>
              </w:rPr>
            </w:pPr>
          </w:p>
        </w:tc>
      </w:tr>
      <w:tr w:rsidR="00B47C53" w:rsidTr="00345119">
        <w:tc>
          <w:tcPr>
            <w:tcW w:w="9576" w:type="dxa"/>
          </w:tcPr>
          <w:p w:rsidR="00B23FBB" w:rsidRDefault="006702CC" w:rsidP="00CD50A0">
            <w:pPr>
              <w:jc w:val="both"/>
              <w:rPr>
                <w:b/>
                <w:u w:val="single"/>
              </w:rPr>
            </w:pPr>
            <w:r>
              <w:rPr>
                <w:b/>
                <w:u w:val="single"/>
              </w:rPr>
              <w:t>COMPARISON OF SENATE E</w:t>
            </w:r>
            <w:r>
              <w:rPr>
                <w:b/>
                <w:u w:val="single"/>
              </w:rPr>
              <w:t>NGROSSED AND SUBSTITUTE</w:t>
            </w:r>
          </w:p>
          <w:p w:rsidR="00820A96" w:rsidRDefault="006702CC" w:rsidP="00CD50A0">
            <w:pPr>
              <w:jc w:val="both"/>
            </w:pPr>
          </w:p>
          <w:p w:rsidR="00820A96" w:rsidRDefault="006702CC" w:rsidP="00CD50A0">
            <w:pPr>
              <w:jc w:val="both"/>
            </w:pPr>
            <w:r>
              <w:t>While C.S.S.B. 615 may differ from the engrossed in minor or nonsubstantive ways, the following summarizes the substantial differences between the engrossed and committee substitute versions of the bill.</w:t>
            </w:r>
          </w:p>
          <w:p w:rsidR="00820A96" w:rsidRDefault="006702CC" w:rsidP="00CD50A0">
            <w:pPr>
              <w:jc w:val="both"/>
            </w:pPr>
          </w:p>
          <w:p w:rsidR="00467B33" w:rsidRDefault="006702CC" w:rsidP="00CD50A0">
            <w:pPr>
              <w:jc w:val="both"/>
            </w:pPr>
            <w:r>
              <w:t xml:space="preserve">The substitute </w:t>
            </w:r>
            <w:r>
              <w:t>clarifies</w:t>
            </w:r>
            <w:r>
              <w:t xml:space="preserve"> the information required to be provided by the training program.</w:t>
            </w:r>
          </w:p>
          <w:p w:rsidR="00C748E2" w:rsidRDefault="006702CC" w:rsidP="00CD50A0">
            <w:pPr>
              <w:jc w:val="both"/>
            </w:pPr>
          </w:p>
          <w:p w:rsidR="00950CF6" w:rsidRDefault="006702CC" w:rsidP="00CD50A0">
            <w:pPr>
              <w:jc w:val="both"/>
            </w:pPr>
            <w:r>
              <w:t>The substitute does not</w:t>
            </w:r>
            <w:r>
              <w:t xml:space="preserve"> include a</w:t>
            </w:r>
            <w:r>
              <w:t xml:space="preserve"> remov</w:t>
            </w:r>
            <w:r>
              <w:t>al of</w:t>
            </w:r>
            <w:r>
              <w:t xml:space="preserve"> </w:t>
            </w:r>
            <w:r w:rsidRPr="00467B33">
              <w:t xml:space="preserve">the option to obtain a certificate </w:t>
            </w:r>
            <w:r>
              <w:t xml:space="preserve">of compliance </w:t>
            </w:r>
            <w:r w:rsidRPr="00467B33">
              <w:t>based solely on the design of the improvement by a licensed engineer</w:t>
            </w:r>
            <w:r>
              <w:t xml:space="preserve">, but </w:t>
            </w:r>
            <w:r>
              <w:t>does include</w:t>
            </w:r>
            <w:r>
              <w:t xml:space="preserve"> a </w:t>
            </w:r>
            <w:r>
              <w:t xml:space="preserve">provision making the certificate </w:t>
            </w:r>
            <w:r>
              <w:t>condition</w:t>
            </w:r>
            <w:r>
              <w:t>al</w:t>
            </w:r>
            <w:r>
              <w:t xml:space="preserve"> </w:t>
            </w:r>
            <w:r>
              <w:t>on an engineer affirming the improvement was</w:t>
            </w:r>
            <w:r>
              <w:t xml:space="preserve"> constructed in accordance with the design. </w:t>
            </w:r>
          </w:p>
          <w:p w:rsidR="00950CF6" w:rsidRDefault="006702CC" w:rsidP="00CD50A0">
            <w:pPr>
              <w:jc w:val="both"/>
            </w:pPr>
          </w:p>
          <w:p w:rsidR="00B4698C" w:rsidRDefault="006702CC" w:rsidP="00CD50A0">
            <w:pPr>
              <w:jc w:val="both"/>
            </w:pPr>
            <w:r>
              <w:t xml:space="preserve">The substitute </w:t>
            </w:r>
            <w:r>
              <w:t>includes a provision prohibiting</w:t>
            </w:r>
            <w:r>
              <w:t xml:space="preserve"> a form prescribed by TDI </w:t>
            </w:r>
            <w:r>
              <w:t>for documentation supporting an engineer's post-</w:t>
            </w:r>
            <w:r>
              <w:t>construction evaluation report from requiring a professional engineer to assume liability for the construction of an improvement.</w:t>
            </w:r>
            <w:r>
              <w:t xml:space="preserve"> </w:t>
            </w:r>
          </w:p>
          <w:p w:rsidR="009F4F82" w:rsidRDefault="006702CC" w:rsidP="00CD50A0">
            <w:pPr>
              <w:jc w:val="both"/>
            </w:pPr>
          </w:p>
          <w:p w:rsidR="00B4698C" w:rsidRDefault="006702CC" w:rsidP="00CD50A0">
            <w:pPr>
              <w:jc w:val="both"/>
            </w:pPr>
            <w:r>
              <w:t>The substitute includes specifications regarding the output data required in the TWIA rate adequacy analysis.</w:t>
            </w:r>
          </w:p>
          <w:p w:rsidR="003F3CD3" w:rsidRDefault="006702CC" w:rsidP="00CD50A0">
            <w:pPr>
              <w:jc w:val="both"/>
            </w:pPr>
          </w:p>
          <w:p w:rsidR="00820A96" w:rsidRDefault="006702CC" w:rsidP="00CD50A0">
            <w:pPr>
              <w:jc w:val="both"/>
            </w:pPr>
            <w:r>
              <w:t>The substitut</w:t>
            </w:r>
            <w:r>
              <w:t>e changes the date by which TWIA must comply with bill provisions relating to premium payment methods</w:t>
            </w:r>
            <w:r w:rsidRPr="001B7F79">
              <w:t xml:space="preserve"> from January 1, 2020, to January 1, 2021</w:t>
            </w:r>
            <w:r>
              <w:t xml:space="preserve">. </w:t>
            </w:r>
            <w:r>
              <w:t xml:space="preserve">The substitute changes the </w:t>
            </w:r>
            <w:r>
              <w:t xml:space="preserve">dates on which </w:t>
            </w:r>
            <w:r>
              <w:t>certain provisions of the bill</w:t>
            </w:r>
            <w:r>
              <w:t xml:space="preserve"> are applicable</w:t>
            </w:r>
            <w:r>
              <w:t>.</w:t>
            </w:r>
          </w:p>
          <w:p w:rsidR="00C748E2" w:rsidRPr="00820A96" w:rsidRDefault="006702CC" w:rsidP="00CD50A0">
            <w:pPr>
              <w:jc w:val="both"/>
            </w:pPr>
          </w:p>
        </w:tc>
      </w:tr>
      <w:tr w:rsidR="00B47C53" w:rsidTr="00345119">
        <w:tc>
          <w:tcPr>
            <w:tcW w:w="9576" w:type="dxa"/>
          </w:tcPr>
          <w:p w:rsidR="00B23FBB" w:rsidRPr="009C1E9A" w:rsidRDefault="006702CC" w:rsidP="00CD50A0">
            <w:pPr>
              <w:rPr>
                <w:b/>
                <w:u w:val="single"/>
              </w:rPr>
            </w:pPr>
          </w:p>
        </w:tc>
      </w:tr>
      <w:tr w:rsidR="00B47C53" w:rsidTr="00345119">
        <w:tc>
          <w:tcPr>
            <w:tcW w:w="9576" w:type="dxa"/>
          </w:tcPr>
          <w:p w:rsidR="00B23FBB" w:rsidRPr="00B23FBB" w:rsidRDefault="006702CC" w:rsidP="00CD50A0">
            <w:pPr>
              <w:jc w:val="both"/>
            </w:pPr>
          </w:p>
        </w:tc>
      </w:tr>
    </w:tbl>
    <w:p w:rsidR="008423E4" w:rsidRPr="00BE0E75" w:rsidRDefault="006702CC" w:rsidP="008423E4">
      <w:pPr>
        <w:spacing w:line="480" w:lineRule="auto"/>
        <w:jc w:val="both"/>
        <w:rPr>
          <w:rFonts w:ascii="Arial" w:hAnsi="Arial"/>
          <w:sz w:val="16"/>
          <w:szCs w:val="16"/>
        </w:rPr>
      </w:pPr>
    </w:p>
    <w:p w:rsidR="004108C3" w:rsidRPr="008423E4" w:rsidRDefault="006702C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2CC">
      <w:r>
        <w:separator/>
      </w:r>
    </w:p>
  </w:endnote>
  <w:endnote w:type="continuationSeparator" w:id="0">
    <w:p w:rsidR="00000000" w:rsidRDefault="0067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82" w:rsidRDefault="0067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47C53" w:rsidTr="009C1E9A">
      <w:trPr>
        <w:cantSplit/>
      </w:trPr>
      <w:tc>
        <w:tcPr>
          <w:tcW w:w="0" w:type="pct"/>
        </w:tcPr>
        <w:p w:rsidR="00137D90" w:rsidRDefault="006702CC" w:rsidP="009C1E9A">
          <w:pPr>
            <w:pStyle w:val="Footer"/>
            <w:tabs>
              <w:tab w:val="clear" w:pos="8640"/>
              <w:tab w:val="right" w:pos="9360"/>
            </w:tabs>
          </w:pPr>
        </w:p>
      </w:tc>
      <w:tc>
        <w:tcPr>
          <w:tcW w:w="2395" w:type="pct"/>
        </w:tcPr>
        <w:p w:rsidR="00137D90" w:rsidRDefault="006702CC" w:rsidP="009C1E9A">
          <w:pPr>
            <w:pStyle w:val="Footer"/>
            <w:tabs>
              <w:tab w:val="clear" w:pos="8640"/>
              <w:tab w:val="right" w:pos="9360"/>
            </w:tabs>
          </w:pPr>
        </w:p>
        <w:p w:rsidR="001A4310" w:rsidRDefault="006702CC" w:rsidP="009C1E9A">
          <w:pPr>
            <w:pStyle w:val="Footer"/>
            <w:tabs>
              <w:tab w:val="clear" w:pos="8640"/>
              <w:tab w:val="right" w:pos="9360"/>
            </w:tabs>
          </w:pPr>
        </w:p>
        <w:p w:rsidR="00137D90" w:rsidRDefault="006702CC" w:rsidP="009C1E9A">
          <w:pPr>
            <w:pStyle w:val="Footer"/>
            <w:tabs>
              <w:tab w:val="clear" w:pos="8640"/>
              <w:tab w:val="right" w:pos="9360"/>
            </w:tabs>
          </w:pPr>
        </w:p>
      </w:tc>
      <w:tc>
        <w:tcPr>
          <w:tcW w:w="2453" w:type="pct"/>
        </w:tcPr>
        <w:p w:rsidR="00137D90" w:rsidRDefault="006702CC" w:rsidP="009C1E9A">
          <w:pPr>
            <w:pStyle w:val="Footer"/>
            <w:tabs>
              <w:tab w:val="clear" w:pos="8640"/>
              <w:tab w:val="right" w:pos="9360"/>
            </w:tabs>
            <w:jc w:val="right"/>
          </w:pPr>
        </w:p>
      </w:tc>
    </w:tr>
    <w:tr w:rsidR="00B47C53" w:rsidTr="009C1E9A">
      <w:trPr>
        <w:cantSplit/>
      </w:trPr>
      <w:tc>
        <w:tcPr>
          <w:tcW w:w="0" w:type="pct"/>
        </w:tcPr>
        <w:p w:rsidR="00EC379B" w:rsidRDefault="006702CC" w:rsidP="009C1E9A">
          <w:pPr>
            <w:pStyle w:val="Footer"/>
            <w:tabs>
              <w:tab w:val="clear" w:pos="8640"/>
              <w:tab w:val="right" w:pos="9360"/>
            </w:tabs>
          </w:pPr>
        </w:p>
      </w:tc>
      <w:tc>
        <w:tcPr>
          <w:tcW w:w="2395" w:type="pct"/>
        </w:tcPr>
        <w:p w:rsidR="00EC379B" w:rsidRPr="009C1E9A" w:rsidRDefault="006702CC" w:rsidP="009C1E9A">
          <w:pPr>
            <w:pStyle w:val="Footer"/>
            <w:tabs>
              <w:tab w:val="clear" w:pos="8640"/>
              <w:tab w:val="right" w:pos="9360"/>
            </w:tabs>
            <w:rPr>
              <w:rFonts w:ascii="Shruti" w:hAnsi="Shruti"/>
              <w:sz w:val="22"/>
            </w:rPr>
          </w:pPr>
          <w:r>
            <w:rPr>
              <w:rFonts w:ascii="Shruti" w:hAnsi="Shruti"/>
              <w:sz w:val="22"/>
            </w:rPr>
            <w:t>86R 30875</w:t>
          </w:r>
        </w:p>
      </w:tc>
      <w:tc>
        <w:tcPr>
          <w:tcW w:w="2453" w:type="pct"/>
        </w:tcPr>
        <w:p w:rsidR="00EC379B" w:rsidRDefault="006702CC" w:rsidP="009C1E9A">
          <w:pPr>
            <w:pStyle w:val="Footer"/>
            <w:tabs>
              <w:tab w:val="clear" w:pos="8640"/>
              <w:tab w:val="right" w:pos="9360"/>
            </w:tabs>
            <w:jc w:val="right"/>
          </w:pPr>
          <w:r>
            <w:fldChar w:fldCharType="begin"/>
          </w:r>
          <w:r>
            <w:instrText xml:space="preserve"> DOCPROPERTY  OTID  \* MERGEFORMAT </w:instrText>
          </w:r>
          <w:r>
            <w:fldChar w:fldCharType="separate"/>
          </w:r>
          <w:r>
            <w:t>19.121.263</w:t>
          </w:r>
          <w:r>
            <w:fldChar w:fldCharType="end"/>
          </w:r>
        </w:p>
      </w:tc>
    </w:tr>
    <w:tr w:rsidR="00B47C53" w:rsidTr="009C1E9A">
      <w:trPr>
        <w:cantSplit/>
      </w:trPr>
      <w:tc>
        <w:tcPr>
          <w:tcW w:w="0" w:type="pct"/>
        </w:tcPr>
        <w:p w:rsidR="00EC379B" w:rsidRDefault="006702CC" w:rsidP="009C1E9A">
          <w:pPr>
            <w:pStyle w:val="Footer"/>
            <w:tabs>
              <w:tab w:val="clear" w:pos="4320"/>
              <w:tab w:val="clear" w:pos="8640"/>
              <w:tab w:val="left" w:pos="2865"/>
            </w:tabs>
          </w:pPr>
        </w:p>
      </w:tc>
      <w:tc>
        <w:tcPr>
          <w:tcW w:w="2395" w:type="pct"/>
        </w:tcPr>
        <w:p w:rsidR="00EC379B" w:rsidRPr="009C1E9A" w:rsidRDefault="006702CC" w:rsidP="009C1E9A">
          <w:pPr>
            <w:pStyle w:val="Footer"/>
            <w:tabs>
              <w:tab w:val="clear" w:pos="4320"/>
              <w:tab w:val="clear" w:pos="8640"/>
              <w:tab w:val="left" w:pos="2865"/>
            </w:tabs>
            <w:rPr>
              <w:rFonts w:ascii="Shruti" w:hAnsi="Shruti"/>
              <w:sz w:val="22"/>
            </w:rPr>
          </w:pPr>
          <w:r>
            <w:rPr>
              <w:rFonts w:ascii="Shruti" w:hAnsi="Shruti"/>
              <w:sz w:val="22"/>
            </w:rPr>
            <w:t>Substitute Document Number: 86R 30201</w:t>
          </w:r>
        </w:p>
      </w:tc>
      <w:tc>
        <w:tcPr>
          <w:tcW w:w="2453" w:type="pct"/>
        </w:tcPr>
        <w:p w:rsidR="00EC379B" w:rsidRDefault="006702CC" w:rsidP="006D504F">
          <w:pPr>
            <w:pStyle w:val="Footer"/>
            <w:rPr>
              <w:rStyle w:val="PageNumber"/>
            </w:rPr>
          </w:pPr>
        </w:p>
        <w:p w:rsidR="00EC379B" w:rsidRDefault="006702CC" w:rsidP="009C1E9A">
          <w:pPr>
            <w:pStyle w:val="Footer"/>
            <w:tabs>
              <w:tab w:val="clear" w:pos="8640"/>
              <w:tab w:val="right" w:pos="9360"/>
            </w:tabs>
            <w:jc w:val="right"/>
          </w:pPr>
        </w:p>
      </w:tc>
    </w:tr>
    <w:tr w:rsidR="00B47C53" w:rsidTr="009C1E9A">
      <w:trPr>
        <w:cantSplit/>
        <w:trHeight w:val="323"/>
      </w:trPr>
      <w:tc>
        <w:tcPr>
          <w:tcW w:w="0" w:type="pct"/>
          <w:gridSpan w:val="3"/>
        </w:tcPr>
        <w:p w:rsidR="00EC379B" w:rsidRDefault="006702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702CC" w:rsidP="009C1E9A">
          <w:pPr>
            <w:pStyle w:val="Footer"/>
            <w:tabs>
              <w:tab w:val="clear" w:pos="8640"/>
              <w:tab w:val="right" w:pos="9360"/>
            </w:tabs>
            <w:jc w:val="center"/>
          </w:pPr>
        </w:p>
      </w:tc>
    </w:tr>
  </w:tbl>
  <w:p w:rsidR="00EC379B" w:rsidRPr="00FF6F72" w:rsidRDefault="006702C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82" w:rsidRDefault="0067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2CC">
      <w:r>
        <w:separator/>
      </w:r>
    </w:p>
  </w:footnote>
  <w:footnote w:type="continuationSeparator" w:id="0">
    <w:p w:rsidR="00000000" w:rsidRDefault="0067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82" w:rsidRDefault="0067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82" w:rsidRDefault="00670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82" w:rsidRDefault="0067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D9B"/>
    <w:multiLevelType w:val="hybridMultilevel"/>
    <w:tmpl w:val="16B8DC9E"/>
    <w:lvl w:ilvl="0" w:tplc="67C20A3C">
      <w:start w:val="1"/>
      <w:numFmt w:val="bullet"/>
      <w:lvlText w:val=""/>
      <w:lvlJc w:val="left"/>
      <w:pPr>
        <w:tabs>
          <w:tab w:val="num" w:pos="720"/>
        </w:tabs>
        <w:ind w:left="720" w:hanging="360"/>
      </w:pPr>
      <w:rPr>
        <w:rFonts w:ascii="Symbol" w:hAnsi="Symbol" w:hint="default"/>
      </w:rPr>
    </w:lvl>
    <w:lvl w:ilvl="1" w:tplc="1BF4AC84" w:tentative="1">
      <w:start w:val="1"/>
      <w:numFmt w:val="bullet"/>
      <w:lvlText w:val="o"/>
      <w:lvlJc w:val="left"/>
      <w:pPr>
        <w:ind w:left="1440" w:hanging="360"/>
      </w:pPr>
      <w:rPr>
        <w:rFonts w:ascii="Courier New" w:hAnsi="Courier New" w:cs="Courier New" w:hint="default"/>
      </w:rPr>
    </w:lvl>
    <w:lvl w:ilvl="2" w:tplc="B1B6093C" w:tentative="1">
      <w:start w:val="1"/>
      <w:numFmt w:val="bullet"/>
      <w:lvlText w:val=""/>
      <w:lvlJc w:val="left"/>
      <w:pPr>
        <w:ind w:left="2160" w:hanging="360"/>
      </w:pPr>
      <w:rPr>
        <w:rFonts w:ascii="Wingdings" w:hAnsi="Wingdings" w:hint="default"/>
      </w:rPr>
    </w:lvl>
    <w:lvl w:ilvl="3" w:tplc="A3A21B34" w:tentative="1">
      <w:start w:val="1"/>
      <w:numFmt w:val="bullet"/>
      <w:lvlText w:val=""/>
      <w:lvlJc w:val="left"/>
      <w:pPr>
        <w:ind w:left="2880" w:hanging="360"/>
      </w:pPr>
      <w:rPr>
        <w:rFonts w:ascii="Symbol" w:hAnsi="Symbol" w:hint="default"/>
      </w:rPr>
    </w:lvl>
    <w:lvl w:ilvl="4" w:tplc="E0EC7862" w:tentative="1">
      <w:start w:val="1"/>
      <w:numFmt w:val="bullet"/>
      <w:lvlText w:val="o"/>
      <w:lvlJc w:val="left"/>
      <w:pPr>
        <w:ind w:left="3600" w:hanging="360"/>
      </w:pPr>
      <w:rPr>
        <w:rFonts w:ascii="Courier New" w:hAnsi="Courier New" w:cs="Courier New" w:hint="default"/>
      </w:rPr>
    </w:lvl>
    <w:lvl w:ilvl="5" w:tplc="DF74F594" w:tentative="1">
      <w:start w:val="1"/>
      <w:numFmt w:val="bullet"/>
      <w:lvlText w:val=""/>
      <w:lvlJc w:val="left"/>
      <w:pPr>
        <w:ind w:left="4320" w:hanging="360"/>
      </w:pPr>
      <w:rPr>
        <w:rFonts w:ascii="Wingdings" w:hAnsi="Wingdings" w:hint="default"/>
      </w:rPr>
    </w:lvl>
    <w:lvl w:ilvl="6" w:tplc="D25A76E6" w:tentative="1">
      <w:start w:val="1"/>
      <w:numFmt w:val="bullet"/>
      <w:lvlText w:val=""/>
      <w:lvlJc w:val="left"/>
      <w:pPr>
        <w:ind w:left="5040" w:hanging="360"/>
      </w:pPr>
      <w:rPr>
        <w:rFonts w:ascii="Symbol" w:hAnsi="Symbol" w:hint="default"/>
      </w:rPr>
    </w:lvl>
    <w:lvl w:ilvl="7" w:tplc="C69261B6" w:tentative="1">
      <w:start w:val="1"/>
      <w:numFmt w:val="bullet"/>
      <w:lvlText w:val="o"/>
      <w:lvlJc w:val="left"/>
      <w:pPr>
        <w:ind w:left="5760" w:hanging="360"/>
      </w:pPr>
      <w:rPr>
        <w:rFonts w:ascii="Courier New" w:hAnsi="Courier New" w:cs="Courier New" w:hint="default"/>
      </w:rPr>
    </w:lvl>
    <w:lvl w:ilvl="8" w:tplc="00287D66" w:tentative="1">
      <w:start w:val="1"/>
      <w:numFmt w:val="bullet"/>
      <w:lvlText w:val=""/>
      <w:lvlJc w:val="left"/>
      <w:pPr>
        <w:ind w:left="6480" w:hanging="360"/>
      </w:pPr>
      <w:rPr>
        <w:rFonts w:ascii="Wingdings" w:hAnsi="Wingdings" w:hint="default"/>
      </w:rPr>
    </w:lvl>
  </w:abstractNum>
  <w:abstractNum w:abstractNumId="1" w15:restartNumberingAfterBreak="0">
    <w:nsid w:val="41D2501B"/>
    <w:multiLevelType w:val="hybridMultilevel"/>
    <w:tmpl w:val="F514BDF0"/>
    <w:lvl w:ilvl="0" w:tplc="DD4C3F3C">
      <w:start w:val="1"/>
      <w:numFmt w:val="lowerLetter"/>
      <w:lvlText w:val="(%1)"/>
      <w:lvlJc w:val="left"/>
      <w:pPr>
        <w:ind w:left="720" w:hanging="360"/>
      </w:pPr>
      <w:rPr>
        <w:rFonts w:hint="default"/>
      </w:rPr>
    </w:lvl>
    <w:lvl w:ilvl="1" w:tplc="3DAC4E1E" w:tentative="1">
      <w:start w:val="1"/>
      <w:numFmt w:val="lowerLetter"/>
      <w:lvlText w:val="%2."/>
      <w:lvlJc w:val="left"/>
      <w:pPr>
        <w:ind w:left="1440" w:hanging="360"/>
      </w:pPr>
    </w:lvl>
    <w:lvl w:ilvl="2" w:tplc="4B28A032" w:tentative="1">
      <w:start w:val="1"/>
      <w:numFmt w:val="lowerRoman"/>
      <w:lvlText w:val="%3."/>
      <w:lvlJc w:val="right"/>
      <w:pPr>
        <w:ind w:left="2160" w:hanging="180"/>
      </w:pPr>
    </w:lvl>
    <w:lvl w:ilvl="3" w:tplc="0CCA1BB0" w:tentative="1">
      <w:start w:val="1"/>
      <w:numFmt w:val="decimal"/>
      <w:lvlText w:val="%4."/>
      <w:lvlJc w:val="left"/>
      <w:pPr>
        <w:ind w:left="2880" w:hanging="360"/>
      </w:pPr>
    </w:lvl>
    <w:lvl w:ilvl="4" w:tplc="786892E8" w:tentative="1">
      <w:start w:val="1"/>
      <w:numFmt w:val="lowerLetter"/>
      <w:lvlText w:val="%5."/>
      <w:lvlJc w:val="left"/>
      <w:pPr>
        <w:ind w:left="3600" w:hanging="360"/>
      </w:pPr>
    </w:lvl>
    <w:lvl w:ilvl="5" w:tplc="69149096" w:tentative="1">
      <w:start w:val="1"/>
      <w:numFmt w:val="lowerRoman"/>
      <w:lvlText w:val="%6."/>
      <w:lvlJc w:val="right"/>
      <w:pPr>
        <w:ind w:left="4320" w:hanging="180"/>
      </w:pPr>
    </w:lvl>
    <w:lvl w:ilvl="6" w:tplc="638436A6" w:tentative="1">
      <w:start w:val="1"/>
      <w:numFmt w:val="decimal"/>
      <w:lvlText w:val="%7."/>
      <w:lvlJc w:val="left"/>
      <w:pPr>
        <w:ind w:left="5040" w:hanging="360"/>
      </w:pPr>
    </w:lvl>
    <w:lvl w:ilvl="7" w:tplc="E13EC59A" w:tentative="1">
      <w:start w:val="1"/>
      <w:numFmt w:val="lowerLetter"/>
      <w:lvlText w:val="%8."/>
      <w:lvlJc w:val="left"/>
      <w:pPr>
        <w:ind w:left="5760" w:hanging="360"/>
      </w:pPr>
    </w:lvl>
    <w:lvl w:ilvl="8" w:tplc="19B6C186" w:tentative="1">
      <w:start w:val="1"/>
      <w:numFmt w:val="lowerRoman"/>
      <w:lvlText w:val="%9."/>
      <w:lvlJc w:val="right"/>
      <w:pPr>
        <w:ind w:left="6480" w:hanging="180"/>
      </w:pPr>
    </w:lvl>
  </w:abstractNum>
  <w:abstractNum w:abstractNumId="2" w15:restartNumberingAfterBreak="0">
    <w:nsid w:val="43C349A5"/>
    <w:multiLevelType w:val="hybridMultilevel"/>
    <w:tmpl w:val="9702B5D2"/>
    <w:lvl w:ilvl="0" w:tplc="6540BD7C">
      <w:start w:val="1"/>
      <w:numFmt w:val="lowerLetter"/>
      <w:lvlText w:val="(%1)"/>
      <w:lvlJc w:val="left"/>
      <w:pPr>
        <w:ind w:left="720" w:hanging="360"/>
      </w:pPr>
      <w:rPr>
        <w:rFonts w:hint="default"/>
      </w:rPr>
    </w:lvl>
    <w:lvl w:ilvl="1" w:tplc="DE5E451E" w:tentative="1">
      <w:start w:val="1"/>
      <w:numFmt w:val="lowerLetter"/>
      <w:lvlText w:val="%2."/>
      <w:lvlJc w:val="left"/>
      <w:pPr>
        <w:ind w:left="1440" w:hanging="360"/>
      </w:pPr>
    </w:lvl>
    <w:lvl w:ilvl="2" w:tplc="08760EFA" w:tentative="1">
      <w:start w:val="1"/>
      <w:numFmt w:val="lowerRoman"/>
      <w:lvlText w:val="%3."/>
      <w:lvlJc w:val="right"/>
      <w:pPr>
        <w:ind w:left="2160" w:hanging="180"/>
      </w:pPr>
    </w:lvl>
    <w:lvl w:ilvl="3" w:tplc="EFDA3DD2" w:tentative="1">
      <w:start w:val="1"/>
      <w:numFmt w:val="decimal"/>
      <w:lvlText w:val="%4."/>
      <w:lvlJc w:val="left"/>
      <w:pPr>
        <w:ind w:left="2880" w:hanging="360"/>
      </w:pPr>
    </w:lvl>
    <w:lvl w:ilvl="4" w:tplc="032056BE" w:tentative="1">
      <w:start w:val="1"/>
      <w:numFmt w:val="lowerLetter"/>
      <w:lvlText w:val="%5."/>
      <w:lvlJc w:val="left"/>
      <w:pPr>
        <w:ind w:left="3600" w:hanging="360"/>
      </w:pPr>
    </w:lvl>
    <w:lvl w:ilvl="5" w:tplc="4134BC56" w:tentative="1">
      <w:start w:val="1"/>
      <w:numFmt w:val="lowerRoman"/>
      <w:lvlText w:val="%6."/>
      <w:lvlJc w:val="right"/>
      <w:pPr>
        <w:ind w:left="4320" w:hanging="180"/>
      </w:pPr>
    </w:lvl>
    <w:lvl w:ilvl="6" w:tplc="DD48D622" w:tentative="1">
      <w:start w:val="1"/>
      <w:numFmt w:val="decimal"/>
      <w:lvlText w:val="%7."/>
      <w:lvlJc w:val="left"/>
      <w:pPr>
        <w:ind w:left="5040" w:hanging="360"/>
      </w:pPr>
    </w:lvl>
    <w:lvl w:ilvl="7" w:tplc="818A1DC8" w:tentative="1">
      <w:start w:val="1"/>
      <w:numFmt w:val="lowerLetter"/>
      <w:lvlText w:val="%8."/>
      <w:lvlJc w:val="left"/>
      <w:pPr>
        <w:ind w:left="5760" w:hanging="360"/>
      </w:pPr>
    </w:lvl>
    <w:lvl w:ilvl="8" w:tplc="E12281B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3"/>
    <w:rsid w:val="006702CC"/>
    <w:rsid w:val="00B4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B7F7F-97C8-400D-B3AE-29FCFAB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E2BB4"/>
    <w:rPr>
      <w:sz w:val="16"/>
      <w:szCs w:val="16"/>
    </w:rPr>
  </w:style>
  <w:style w:type="paragraph" w:styleId="CommentText">
    <w:name w:val="annotation text"/>
    <w:basedOn w:val="Normal"/>
    <w:link w:val="CommentTextChar"/>
    <w:semiHidden/>
    <w:unhideWhenUsed/>
    <w:rsid w:val="006E2BB4"/>
    <w:rPr>
      <w:sz w:val="20"/>
      <w:szCs w:val="20"/>
    </w:rPr>
  </w:style>
  <w:style w:type="character" w:customStyle="1" w:styleId="CommentTextChar">
    <w:name w:val="Comment Text Char"/>
    <w:basedOn w:val="DefaultParagraphFont"/>
    <w:link w:val="CommentText"/>
    <w:semiHidden/>
    <w:rsid w:val="006E2BB4"/>
  </w:style>
  <w:style w:type="paragraph" w:styleId="CommentSubject">
    <w:name w:val="annotation subject"/>
    <w:basedOn w:val="CommentText"/>
    <w:next w:val="CommentText"/>
    <w:link w:val="CommentSubjectChar"/>
    <w:semiHidden/>
    <w:unhideWhenUsed/>
    <w:rsid w:val="006E2BB4"/>
    <w:rPr>
      <w:b/>
      <w:bCs/>
    </w:rPr>
  </w:style>
  <w:style w:type="character" w:customStyle="1" w:styleId="CommentSubjectChar">
    <w:name w:val="Comment Subject Char"/>
    <w:basedOn w:val="CommentTextChar"/>
    <w:link w:val="CommentSubject"/>
    <w:semiHidden/>
    <w:rsid w:val="006E2BB4"/>
    <w:rPr>
      <w:b/>
      <w:bCs/>
    </w:rPr>
  </w:style>
  <w:style w:type="character" w:styleId="Hyperlink">
    <w:name w:val="Hyperlink"/>
    <w:basedOn w:val="DefaultParagraphFont"/>
    <w:unhideWhenUsed/>
    <w:rsid w:val="001A75FA"/>
    <w:rPr>
      <w:color w:val="0000FF" w:themeColor="hyperlink"/>
      <w:u w:val="single"/>
    </w:rPr>
  </w:style>
  <w:style w:type="character" w:styleId="FollowedHyperlink">
    <w:name w:val="FollowedHyperlink"/>
    <w:basedOn w:val="DefaultParagraphFont"/>
    <w:semiHidden/>
    <w:unhideWhenUsed/>
    <w:rsid w:val="00845BF6"/>
    <w:rPr>
      <w:color w:val="800080" w:themeColor="followedHyperlink"/>
      <w:u w:val="single"/>
    </w:rPr>
  </w:style>
  <w:style w:type="paragraph" w:styleId="Revision">
    <w:name w:val="Revision"/>
    <w:hidden/>
    <w:uiPriority w:val="99"/>
    <w:semiHidden/>
    <w:rsid w:val="00373D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7573</Characters>
  <Application>Microsoft Office Word</Application>
  <DocSecurity>4</DocSecurity>
  <Lines>150</Lines>
  <Paragraphs>32</Paragraphs>
  <ScaleCrop>false</ScaleCrop>
  <HeadingPairs>
    <vt:vector size="2" baseType="variant">
      <vt:variant>
        <vt:lpstr>Title</vt:lpstr>
      </vt:variant>
      <vt:variant>
        <vt:i4>1</vt:i4>
      </vt:variant>
    </vt:vector>
  </HeadingPairs>
  <TitlesOfParts>
    <vt:vector size="1" baseType="lpstr">
      <vt:lpstr>BA - SB00615 (Committee Report (Substituted))</vt:lpstr>
    </vt:vector>
  </TitlesOfParts>
  <Company>State of Texas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30875</dc:subject>
  <dc:creator>State of Texas</dc:creator>
  <dc:description>SB 615 by Buckingham-(H)Insurance (Substitute Document Number: 86R 30201)</dc:description>
  <cp:lastModifiedBy>Erin Conway</cp:lastModifiedBy>
  <cp:revision>2</cp:revision>
  <cp:lastPrinted>2019-04-30T22:05:00Z</cp:lastPrinted>
  <dcterms:created xsi:type="dcterms:W3CDTF">2019-05-02T19:14:00Z</dcterms:created>
  <dcterms:modified xsi:type="dcterms:W3CDTF">2019-05-02T19:14:00Z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19.121.263</vt:lpwstr>
  </property>
</Properties>
</file>