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625DA" w:rsidTr="00345119">
        <w:tc>
          <w:tcPr>
            <w:tcW w:w="9576" w:type="dxa"/>
            <w:noWrap/>
          </w:tcPr>
          <w:p w:rsidR="008423E4" w:rsidRPr="0022177D" w:rsidRDefault="00972AC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72AC3" w:rsidP="008423E4">
      <w:pPr>
        <w:jc w:val="center"/>
      </w:pPr>
    </w:p>
    <w:p w:rsidR="008423E4" w:rsidRPr="00B31F0E" w:rsidRDefault="00972AC3" w:rsidP="008423E4"/>
    <w:p w:rsidR="008423E4" w:rsidRPr="00742794" w:rsidRDefault="00972AC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625DA" w:rsidTr="00345119">
        <w:tc>
          <w:tcPr>
            <w:tcW w:w="9576" w:type="dxa"/>
          </w:tcPr>
          <w:p w:rsidR="008423E4" w:rsidRPr="00861995" w:rsidRDefault="00972AC3" w:rsidP="00345119">
            <w:pPr>
              <w:jc w:val="right"/>
            </w:pPr>
            <w:r>
              <w:t>S.B. 621</w:t>
            </w:r>
          </w:p>
        </w:tc>
      </w:tr>
      <w:tr w:rsidR="006625DA" w:rsidTr="00345119">
        <w:tc>
          <w:tcPr>
            <w:tcW w:w="9576" w:type="dxa"/>
          </w:tcPr>
          <w:p w:rsidR="008423E4" w:rsidRPr="00861995" w:rsidRDefault="00972AC3" w:rsidP="00530DE4">
            <w:pPr>
              <w:jc w:val="right"/>
            </w:pPr>
            <w:r>
              <w:t xml:space="preserve">By: </w:t>
            </w:r>
            <w:r>
              <w:t>Nichols</w:t>
            </w:r>
          </w:p>
        </w:tc>
      </w:tr>
      <w:tr w:rsidR="006625DA" w:rsidTr="00345119">
        <w:tc>
          <w:tcPr>
            <w:tcW w:w="9576" w:type="dxa"/>
          </w:tcPr>
          <w:p w:rsidR="008423E4" w:rsidRPr="00861995" w:rsidRDefault="00972AC3" w:rsidP="00345119">
            <w:pPr>
              <w:jc w:val="right"/>
            </w:pPr>
            <w:r>
              <w:t>Licensing &amp; Administrative Procedures</w:t>
            </w:r>
          </w:p>
        </w:tc>
      </w:tr>
      <w:tr w:rsidR="006625DA" w:rsidTr="00345119">
        <w:tc>
          <w:tcPr>
            <w:tcW w:w="9576" w:type="dxa"/>
          </w:tcPr>
          <w:p w:rsidR="008423E4" w:rsidRDefault="00972AC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972AC3" w:rsidP="008423E4">
      <w:pPr>
        <w:tabs>
          <w:tab w:val="right" w:pos="9360"/>
        </w:tabs>
      </w:pPr>
    </w:p>
    <w:p w:rsidR="008423E4" w:rsidRDefault="00972AC3" w:rsidP="008423E4"/>
    <w:p w:rsidR="008423E4" w:rsidRDefault="00972AC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625DA" w:rsidTr="00345119">
        <w:tc>
          <w:tcPr>
            <w:tcW w:w="9576" w:type="dxa"/>
          </w:tcPr>
          <w:p w:rsidR="008423E4" w:rsidRPr="00A8133F" w:rsidRDefault="00972AC3" w:rsidP="002B7767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72AC3" w:rsidP="002B7767"/>
          <w:p w:rsidR="008423E4" w:rsidRDefault="00972AC3" w:rsidP="002B7767">
            <w:pPr>
              <w:pStyle w:val="Header"/>
              <w:jc w:val="both"/>
            </w:pPr>
            <w:r>
              <w:t>The Texas State Board of Plumbing Examiners</w:t>
            </w:r>
            <w:r>
              <w:t xml:space="preserve"> (TSBPE)</w:t>
            </w:r>
            <w:r>
              <w:t xml:space="preserve"> regulates plumbing in Texas by licensing and overseeing apprentices, tradesman, journeyman, and master plumbers, and plumbing inspectors. The </w:t>
            </w:r>
            <w:r>
              <w:t>TSBPE</w:t>
            </w:r>
            <w:r>
              <w:t xml:space="preserve"> </w:t>
            </w:r>
            <w:r>
              <w:t xml:space="preserve">and the Plumbing License Law </w:t>
            </w:r>
            <w:r>
              <w:t>is subject to abolishment under the Sunset Act on September 1, 2019, unless co</w:t>
            </w:r>
            <w:r>
              <w:t xml:space="preserve">ntinued by the Legislature. The Sunset </w:t>
            </w:r>
            <w:r>
              <w:t xml:space="preserve">Advisory </w:t>
            </w:r>
            <w:r>
              <w:t>Commission found</w:t>
            </w:r>
            <w:r>
              <w:t>, while there is a continued need to regulate the practice of plumbing in Texas,</w:t>
            </w:r>
            <w:r>
              <w:t xml:space="preserve"> </w:t>
            </w:r>
            <w:r>
              <w:t xml:space="preserve">the </w:t>
            </w:r>
            <w:r>
              <w:t>TSBPE</w:t>
            </w:r>
            <w:r w:rsidRPr="0073252F">
              <w:t xml:space="preserve"> </w:t>
            </w:r>
            <w:r>
              <w:t xml:space="preserve">has failed to address long-standing problems </w:t>
            </w:r>
            <w:r>
              <w:t>and operate properly and efficiently</w:t>
            </w:r>
            <w:r>
              <w:t xml:space="preserve">. </w:t>
            </w:r>
            <w:r>
              <w:t>S.B.</w:t>
            </w:r>
            <w:r>
              <w:t xml:space="preserve"> </w:t>
            </w:r>
            <w:r>
              <w:t>621</w:t>
            </w:r>
            <w:r>
              <w:t xml:space="preserve"> provides </w:t>
            </w:r>
            <w:r>
              <w:t xml:space="preserve">for the abolishment of the </w:t>
            </w:r>
            <w:r>
              <w:t>TSBPE</w:t>
            </w:r>
            <w:r>
              <w:t xml:space="preserve"> and transfers the authority to regulate plumbing to the Texas Department of Licensing and Regulation with related statutory modifications.</w:t>
            </w:r>
          </w:p>
          <w:p w:rsidR="008423E4" w:rsidRPr="00E26B13" w:rsidRDefault="00972AC3" w:rsidP="002B7767">
            <w:pPr>
              <w:rPr>
                <w:b/>
              </w:rPr>
            </w:pPr>
          </w:p>
        </w:tc>
      </w:tr>
      <w:tr w:rsidR="006625DA" w:rsidTr="00345119">
        <w:tc>
          <w:tcPr>
            <w:tcW w:w="9576" w:type="dxa"/>
          </w:tcPr>
          <w:p w:rsidR="0017725B" w:rsidRDefault="00972AC3" w:rsidP="002B776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72AC3" w:rsidP="002B7767">
            <w:pPr>
              <w:rPr>
                <w:b/>
                <w:u w:val="single"/>
              </w:rPr>
            </w:pPr>
          </w:p>
          <w:p w:rsidR="002457E8" w:rsidRPr="002457E8" w:rsidRDefault="00972AC3" w:rsidP="002B7767">
            <w:pPr>
              <w:jc w:val="both"/>
            </w:pPr>
            <w:r>
              <w:t xml:space="preserve">It is the committee's opinion that this bill does not </w:t>
            </w:r>
            <w:r>
              <w:t>expressly create a criminal offense, increase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972AC3" w:rsidP="002B7767">
            <w:pPr>
              <w:rPr>
                <w:b/>
                <w:u w:val="single"/>
              </w:rPr>
            </w:pPr>
          </w:p>
        </w:tc>
      </w:tr>
      <w:tr w:rsidR="006625DA" w:rsidTr="00345119">
        <w:tc>
          <w:tcPr>
            <w:tcW w:w="9576" w:type="dxa"/>
          </w:tcPr>
          <w:p w:rsidR="008423E4" w:rsidRPr="00A8133F" w:rsidRDefault="00972AC3" w:rsidP="002B7767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72AC3" w:rsidP="002B7767"/>
          <w:p w:rsidR="002457E8" w:rsidRDefault="00972AC3" w:rsidP="002B77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rulemaking authority is expressly granted to </w:t>
            </w:r>
            <w:r>
              <w:t xml:space="preserve">the executive </w:t>
            </w:r>
            <w:r>
              <w:t>director of the Texas Department of Licensing and Regulation</w:t>
            </w:r>
            <w:r>
              <w:t xml:space="preserve"> in SECTION 14 </w:t>
            </w:r>
            <w:r>
              <w:t xml:space="preserve">of this bill </w:t>
            </w:r>
            <w:r>
              <w:t xml:space="preserve">and to </w:t>
            </w:r>
            <w:r>
              <w:t>the Texas Commission of Licensing and Regulation in SECTION</w:t>
            </w:r>
            <w:r>
              <w:t xml:space="preserve">S </w:t>
            </w:r>
            <w:r>
              <w:t xml:space="preserve">14, </w:t>
            </w:r>
            <w:r>
              <w:t>16</w:t>
            </w:r>
            <w:r>
              <w:t xml:space="preserve">, </w:t>
            </w:r>
            <w:r>
              <w:t>20</w:t>
            </w:r>
            <w:r>
              <w:t xml:space="preserve">, </w:t>
            </w:r>
            <w:r>
              <w:t>33,</w:t>
            </w:r>
            <w:r>
              <w:t xml:space="preserve"> 34, 35, 36</w:t>
            </w:r>
            <w:r>
              <w:t xml:space="preserve"> of this bill.</w:t>
            </w:r>
            <w:r>
              <w:t xml:space="preserve"> </w:t>
            </w:r>
          </w:p>
          <w:p w:rsidR="008423E4" w:rsidRPr="00E21FDC" w:rsidRDefault="00972AC3" w:rsidP="002B7767">
            <w:pPr>
              <w:rPr>
                <w:b/>
              </w:rPr>
            </w:pPr>
          </w:p>
        </w:tc>
      </w:tr>
      <w:tr w:rsidR="006625DA" w:rsidTr="00C84721">
        <w:tc>
          <w:tcPr>
            <w:tcW w:w="9576" w:type="dxa"/>
            <w:shd w:val="clear" w:color="auto" w:fill="auto"/>
          </w:tcPr>
          <w:p w:rsidR="008423E4" w:rsidRPr="002457E8" w:rsidRDefault="00972AC3" w:rsidP="00C84721">
            <w:pPr>
              <w:spacing w:before="120" w:after="120"/>
              <w:contextualSpacing/>
              <w:rPr>
                <w:b/>
              </w:rPr>
            </w:pPr>
            <w:r w:rsidRPr="002457E8">
              <w:rPr>
                <w:b/>
                <w:u w:val="single"/>
              </w:rPr>
              <w:t>ANALYSIS</w:t>
            </w:r>
            <w:r w:rsidRPr="002457E8">
              <w:rPr>
                <w:b/>
              </w:rPr>
              <w:t xml:space="preserve"> </w:t>
            </w:r>
          </w:p>
          <w:p w:rsidR="008423E4" w:rsidRDefault="00972AC3" w:rsidP="00C84721">
            <w:pPr>
              <w:spacing w:before="120" w:after="120"/>
              <w:contextualSpacing/>
            </w:pPr>
          </w:p>
          <w:p w:rsidR="00641DED" w:rsidRDefault="00972AC3" w:rsidP="00C84721">
            <w:pPr>
              <w:pStyle w:val="Header"/>
              <w:tabs>
                <w:tab w:val="clear" w:pos="4320"/>
                <w:tab w:val="clear" w:pos="8640"/>
              </w:tabs>
              <w:spacing w:after="120"/>
              <w:contextualSpacing/>
              <w:jc w:val="both"/>
            </w:pPr>
            <w:r>
              <w:t>S.B.</w:t>
            </w:r>
            <w:r>
              <w:t xml:space="preserve"> </w:t>
            </w:r>
            <w:r>
              <w:t>621</w:t>
            </w:r>
            <w:r>
              <w:t xml:space="preserve"> </w:t>
            </w:r>
            <w:r>
              <w:t>provides for the transfer of plumbing regulation from</w:t>
            </w:r>
            <w:r>
              <w:t xml:space="preserve"> the Texas State Board of Plumbing Examiners</w:t>
            </w:r>
            <w:r>
              <w:t xml:space="preserve"> (TSBPE)</w:t>
            </w:r>
            <w:r>
              <w:t xml:space="preserve"> to the </w:t>
            </w:r>
            <w:r>
              <w:t>Texas Department of Licensing and Regulation (TDLR) by abolishing the TSBPE and amend</w:t>
            </w:r>
            <w:r>
              <w:t xml:space="preserve">ing the Occupations Code to establish the nine-member </w:t>
            </w:r>
            <w:r>
              <w:t xml:space="preserve">Texas Plumbing Advisory Board </w:t>
            </w:r>
            <w:r>
              <w:t>to be</w:t>
            </w:r>
            <w:r>
              <w:t xml:space="preserve"> appointed by </w:t>
            </w:r>
            <w:r>
              <w:t xml:space="preserve">the </w:t>
            </w:r>
            <w:r>
              <w:t>governor</w:t>
            </w:r>
            <w:r>
              <w:t xml:space="preserve">. </w:t>
            </w:r>
            <w:r>
              <w:t xml:space="preserve">The bill </w:t>
            </w:r>
            <w:r>
              <w:t xml:space="preserve">provides for: </w:t>
            </w:r>
          </w:p>
          <w:p w:rsidR="00F13A80" w:rsidRDefault="00972AC3" w:rsidP="003E5438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contin</w:t>
            </w:r>
            <w:r>
              <w:t>uation</w:t>
            </w:r>
            <w:r>
              <w:t xml:space="preserve"> of the TSBPE until September 1, 2020, for the sole purpose of transferring</w:t>
            </w:r>
            <w:r>
              <w:t xml:space="preserve"> </w:t>
            </w:r>
            <w:r>
              <w:t xml:space="preserve">TSBPE </w:t>
            </w:r>
            <w:r w:rsidRPr="00D21281">
              <w:t xml:space="preserve">obligations, property, rights, powers, </w:t>
            </w:r>
            <w:r>
              <w:t xml:space="preserve">and </w:t>
            </w:r>
            <w:r w:rsidRPr="00D21281">
              <w:t>duties</w:t>
            </w:r>
            <w:r>
              <w:t xml:space="preserve"> </w:t>
            </w:r>
            <w:r>
              <w:t xml:space="preserve">to </w:t>
            </w:r>
            <w:r>
              <w:t xml:space="preserve">TDLR, which is to </w:t>
            </w:r>
            <w:r>
              <w:t>be completed not later than September 1, 2020;</w:t>
            </w:r>
          </w:p>
          <w:p w:rsidR="00641DED" w:rsidRDefault="00972AC3" w:rsidP="003E5438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transfer </w:t>
            </w:r>
            <w:r w:rsidRPr="00D21281">
              <w:t>to</w:t>
            </w:r>
            <w:r>
              <w:t xml:space="preserve"> TDLR </w:t>
            </w:r>
            <w:r>
              <w:t xml:space="preserve">of </w:t>
            </w:r>
            <w:r>
              <w:t xml:space="preserve">unexpended </w:t>
            </w:r>
            <w:r>
              <w:t xml:space="preserve">funds </w:t>
            </w:r>
            <w:r>
              <w:t xml:space="preserve">appropriated </w:t>
            </w:r>
            <w:r>
              <w:t xml:space="preserve">to </w:t>
            </w:r>
            <w:r>
              <w:t xml:space="preserve">the </w:t>
            </w:r>
            <w:r>
              <w:t>TSBPE</w:t>
            </w:r>
            <w:r>
              <w:t>;</w:t>
            </w:r>
            <w:r>
              <w:t xml:space="preserve"> </w:t>
            </w:r>
          </w:p>
          <w:p w:rsidR="00641DED" w:rsidRDefault="00972AC3" w:rsidP="003E5438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>the continuation of TSBPE-issued</w:t>
            </w:r>
            <w:r>
              <w:t xml:space="preserve"> rules</w:t>
            </w:r>
            <w:r>
              <w:t>,</w:t>
            </w:r>
            <w:r>
              <w:t xml:space="preserve"> </w:t>
            </w:r>
            <w:r w:rsidRPr="00D21281">
              <w:t>license</w:t>
            </w:r>
            <w:r>
              <w:t>s</w:t>
            </w:r>
            <w:r w:rsidRPr="00D21281">
              <w:t>, endorsement</w:t>
            </w:r>
            <w:r>
              <w:t>s</w:t>
            </w:r>
            <w:r w:rsidRPr="00D21281">
              <w:t xml:space="preserve">, </w:t>
            </w:r>
            <w:r>
              <w:t>and</w:t>
            </w:r>
            <w:r w:rsidRPr="00D21281">
              <w:t xml:space="preserve"> c</w:t>
            </w:r>
            <w:r w:rsidRPr="00D21281">
              <w:t>ertificate</w:t>
            </w:r>
            <w:r>
              <w:t>s</w:t>
            </w:r>
            <w:r w:rsidRPr="00D21281">
              <w:t xml:space="preserve"> of registration</w:t>
            </w:r>
            <w:r>
              <w:t xml:space="preserve"> until superseded by a rule of TDLR</w:t>
            </w:r>
            <w:r>
              <w:t>;</w:t>
            </w:r>
            <w:r>
              <w:t xml:space="preserve"> </w:t>
            </w:r>
            <w:r>
              <w:t>and</w:t>
            </w:r>
            <w:r>
              <w:t xml:space="preserve"> </w:t>
            </w:r>
          </w:p>
          <w:p w:rsidR="008423E4" w:rsidRDefault="00972AC3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spacing w:before="120" w:after="120"/>
              <w:jc w:val="both"/>
            </w:pPr>
            <w:r>
              <w:t xml:space="preserve">the continuation of </w:t>
            </w:r>
            <w:r>
              <w:t>pending proceeding</w:t>
            </w:r>
            <w:r>
              <w:t>s</w:t>
            </w:r>
            <w:r>
              <w:t xml:space="preserve"> or </w:t>
            </w:r>
            <w:r w:rsidRPr="002A2808">
              <w:t>application</w:t>
            </w:r>
            <w:r>
              <w:t>s</w:t>
            </w:r>
            <w:r w:rsidRPr="002A2808">
              <w:t xml:space="preserve"> for a license, endorsement, or certificate of registration without change in status after the</w:t>
            </w:r>
            <w:r>
              <w:t xml:space="preserve"> bill's</w:t>
            </w:r>
            <w:r w:rsidRPr="002A2808">
              <w:t xml:space="preserve"> effective date.</w:t>
            </w:r>
          </w:p>
          <w:p w:rsidR="00D14F1C" w:rsidRDefault="00972AC3" w:rsidP="00C84721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contextualSpacing/>
              <w:jc w:val="both"/>
            </w:pPr>
          </w:p>
          <w:p w:rsidR="00511855" w:rsidRDefault="00972AC3" w:rsidP="00C84721">
            <w:pPr>
              <w:pStyle w:val="Header"/>
              <w:spacing w:before="120" w:after="120"/>
              <w:contextualSpacing/>
              <w:jc w:val="both"/>
            </w:pPr>
            <w:r>
              <w:t>S.B.</w:t>
            </w:r>
            <w:r>
              <w:t xml:space="preserve"> </w:t>
            </w:r>
            <w:r>
              <w:t>621</w:t>
            </w:r>
            <w:r>
              <w:t xml:space="preserve"> </w:t>
            </w:r>
            <w:r w:rsidRPr="00234839">
              <w:t>revises</w:t>
            </w:r>
            <w:r>
              <w:t xml:space="preserve"> and updates</w:t>
            </w:r>
            <w:r w:rsidRPr="00234839">
              <w:t xml:space="preserve"> provisions relating </w:t>
            </w:r>
            <w:r w:rsidRPr="00405D02">
              <w:t xml:space="preserve">to </w:t>
            </w:r>
            <w:r>
              <w:t xml:space="preserve">the </w:t>
            </w:r>
            <w:r w:rsidRPr="00405D02">
              <w:t>TSBPE</w:t>
            </w:r>
            <w:r w:rsidRPr="00234839">
              <w:t xml:space="preserve"> to reflect that transfer and the establishment of the new advisory board</w:t>
            </w:r>
            <w:r>
              <w:t xml:space="preserve">, which must be appointed by the </w:t>
            </w:r>
            <w:r>
              <w:t>governor</w:t>
            </w:r>
            <w:r>
              <w:t xml:space="preserve"> not later than December 1, 2019. A member of the abolished TSBPE </w:t>
            </w:r>
            <w:r>
              <w:t xml:space="preserve">is eligible for appointment to the advisory board and continues to provide advice to TDLR until a majority of the members of the advisory </w:t>
            </w:r>
            <w:r>
              <w:t xml:space="preserve">board </w:t>
            </w:r>
            <w:r>
              <w:t xml:space="preserve">are appointed. </w:t>
            </w:r>
            <w:r>
              <w:t xml:space="preserve">The bill provides for </w:t>
            </w:r>
            <w:r>
              <w:t>the following:</w:t>
            </w:r>
            <w:r>
              <w:t xml:space="preserve"> </w:t>
            </w:r>
          </w:p>
          <w:p w:rsidR="00511855" w:rsidRDefault="00972AC3" w:rsidP="003E5438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the advisory board's composition;</w:t>
            </w:r>
          </w:p>
          <w:p w:rsidR="00511855" w:rsidRDefault="00972AC3" w:rsidP="003E5438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>the designation of a pres</w:t>
            </w:r>
            <w:r>
              <w:t>iding officer;</w:t>
            </w:r>
          </w:p>
          <w:p w:rsidR="00511855" w:rsidRDefault="00972AC3" w:rsidP="003E5438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a prohibition against board members receiving compensation for </w:t>
            </w:r>
            <w:r>
              <w:t xml:space="preserve">advisory </w:t>
            </w:r>
            <w:r>
              <w:t>board service;</w:t>
            </w:r>
            <w:r>
              <w:t xml:space="preserve"> </w:t>
            </w:r>
            <w:r>
              <w:t xml:space="preserve">and </w:t>
            </w:r>
          </w:p>
          <w:p w:rsidR="00511855" w:rsidRDefault="00972AC3" w:rsidP="003E5438">
            <w:pPr>
              <w:pStyle w:val="Header"/>
              <w:numPr>
                <w:ilvl w:val="0"/>
                <w:numId w:val="3"/>
              </w:numPr>
              <w:spacing w:before="120" w:after="120"/>
              <w:jc w:val="both"/>
            </w:pPr>
            <w:r>
              <w:t xml:space="preserve">the </w:t>
            </w:r>
            <w:r>
              <w:t xml:space="preserve">advisory </w:t>
            </w:r>
            <w:r>
              <w:t>board's duties</w:t>
            </w:r>
            <w:r>
              <w:t xml:space="preserve"> to provide advice and recommendations to TDLR on certain technical matters relating to administration of the Plumbing Lic</w:t>
            </w:r>
            <w:r>
              <w:t>ense Law</w:t>
            </w:r>
            <w:r>
              <w:t>.</w:t>
            </w:r>
          </w:p>
          <w:p w:rsidR="00511855" w:rsidRDefault="00972AC3" w:rsidP="00C84721">
            <w:pPr>
              <w:pStyle w:val="Header"/>
              <w:spacing w:before="120" w:after="120"/>
              <w:contextualSpacing/>
              <w:jc w:val="both"/>
            </w:pPr>
            <w:r>
              <w:t xml:space="preserve">The bill </w:t>
            </w:r>
            <w:r>
              <w:t xml:space="preserve">exempts the </w:t>
            </w:r>
            <w:r>
              <w:t xml:space="preserve">advisory </w:t>
            </w:r>
            <w:r>
              <w:t>board from Government Code provisions governing state agency advisory</w:t>
            </w:r>
            <w:r>
              <w:t xml:space="preserve"> committees.</w:t>
            </w:r>
          </w:p>
          <w:p w:rsidR="000574DB" w:rsidRPr="00424A4C" w:rsidRDefault="00972AC3" w:rsidP="00C84721">
            <w:pPr>
              <w:pStyle w:val="Header"/>
              <w:spacing w:before="120" w:after="120"/>
              <w:contextualSpacing/>
              <w:jc w:val="both"/>
              <w:rPr>
                <w:sz w:val="20"/>
              </w:rPr>
            </w:pPr>
          </w:p>
          <w:p w:rsidR="000574DB" w:rsidRDefault="00972AC3" w:rsidP="00C84721">
            <w:pPr>
              <w:pStyle w:val="Header"/>
              <w:spacing w:before="120" w:after="120"/>
              <w:contextualSpacing/>
              <w:jc w:val="both"/>
            </w:pPr>
            <w:r>
              <w:t xml:space="preserve">S.B. </w:t>
            </w:r>
            <w:r>
              <w:t>621</w:t>
            </w:r>
            <w:r>
              <w:t xml:space="preserve"> requires the rules adopted and enforced to administer the Plumbing License Law to include requirements for the issuance and </w:t>
            </w:r>
            <w:r>
              <w:t xml:space="preserve">renewal of a plumbing license, endorsement, or certificate of registration and authorizes </w:t>
            </w:r>
            <w:r>
              <w:t>the Texas Commission of Licensing and Regulation (</w:t>
            </w:r>
            <w:r>
              <w:t>TCLR</w:t>
            </w:r>
            <w:r>
              <w:t>)</w:t>
            </w:r>
            <w:r>
              <w:t xml:space="preserve"> to establish by rule standards of conduct for the holder of such a license, endorsement, or certificate of reg</w:t>
            </w:r>
            <w:r>
              <w:t xml:space="preserve">istration. The bill requires TDLR to recognize, prepare, administer, or </w:t>
            </w:r>
            <w:r>
              <w:t xml:space="preserve">arrange for </w:t>
            </w:r>
            <w:r>
              <w:t xml:space="preserve">the </w:t>
            </w:r>
            <w:r>
              <w:t xml:space="preserve">administration of an examination required under that law and sets out related provisions. The bill </w:t>
            </w:r>
            <w:r>
              <w:t xml:space="preserve">requires the </w:t>
            </w:r>
            <w:r>
              <w:t xml:space="preserve">practical </w:t>
            </w:r>
            <w:r>
              <w:t xml:space="preserve">portion of the examination to be administered </w:t>
            </w:r>
            <w:r>
              <w:t xml:space="preserve">by a licensed plumber and </w:t>
            </w:r>
            <w:r>
              <w:t xml:space="preserve">provides for the engagement of plumbing examiners by TDLR, including authorizing TDLR to contract with a plumbing examiner to administer the </w:t>
            </w:r>
            <w:r>
              <w:t xml:space="preserve">practical </w:t>
            </w:r>
            <w:r>
              <w:t>portion of the examination</w:t>
            </w:r>
            <w:r>
              <w:t>.</w:t>
            </w:r>
            <w:r>
              <w:t xml:space="preserve"> The bill sets out certain actions TCLR must underta</w:t>
            </w:r>
            <w:r>
              <w:t>ke by rule relating to the</w:t>
            </w:r>
            <w:r>
              <w:t xml:space="preserve"> work of a master plumber, a </w:t>
            </w:r>
            <w:r>
              <w:t xml:space="preserve">plumber's </w:t>
            </w:r>
            <w:r>
              <w:t>apprentice, and tradesman plumber-limited license holder</w:t>
            </w:r>
            <w:r>
              <w:t xml:space="preserve"> </w:t>
            </w:r>
            <w:r>
              <w:t xml:space="preserve">and to </w:t>
            </w:r>
            <w:r>
              <w:t>related</w:t>
            </w:r>
            <w:r>
              <w:t xml:space="preserve"> </w:t>
            </w:r>
            <w:r>
              <w:t xml:space="preserve">supervision </w:t>
            </w:r>
            <w:r>
              <w:t xml:space="preserve">and </w:t>
            </w:r>
            <w:r>
              <w:t xml:space="preserve">training. </w:t>
            </w:r>
          </w:p>
          <w:p w:rsidR="006B4079" w:rsidRPr="00424A4C" w:rsidRDefault="00972AC3" w:rsidP="00C84721">
            <w:pPr>
              <w:pStyle w:val="Header"/>
              <w:spacing w:before="120" w:after="120"/>
              <w:contextualSpacing/>
              <w:jc w:val="both"/>
              <w:rPr>
                <w:sz w:val="20"/>
              </w:rPr>
            </w:pPr>
          </w:p>
          <w:p w:rsidR="006B4079" w:rsidRDefault="00972AC3" w:rsidP="00C84721">
            <w:pPr>
              <w:pStyle w:val="Header"/>
              <w:spacing w:before="120" w:after="120"/>
              <w:contextualSpacing/>
              <w:jc w:val="both"/>
            </w:pPr>
            <w:r>
              <w:t>S.B.</w:t>
            </w:r>
            <w:r>
              <w:t xml:space="preserve"> </w:t>
            </w:r>
            <w:r>
              <w:t>621</w:t>
            </w:r>
            <w:r>
              <w:t xml:space="preserve"> requires TDLR to require an applicant for a plumbing license to submit </w:t>
            </w:r>
            <w:r w:rsidRPr="00DA548E">
              <w:t xml:space="preserve">a complete </w:t>
            </w:r>
            <w:r w:rsidRPr="00DA548E">
              <w:t>and legible set of fingerprints</w:t>
            </w:r>
            <w:r>
              <w:t xml:space="preserve"> </w:t>
            </w:r>
            <w:r w:rsidRPr="00DA548E">
              <w:t xml:space="preserve">to </w:t>
            </w:r>
            <w:r>
              <w:t>TDLR</w:t>
            </w:r>
            <w:r w:rsidRPr="00DA548E">
              <w:t xml:space="preserve"> or to the Department of Public Safety</w:t>
            </w:r>
            <w:r>
              <w:t xml:space="preserve"> (DPS)</w:t>
            </w:r>
            <w:r w:rsidRPr="00DA548E">
              <w:t xml:space="preserve"> for the purpose of obtaining criminal history record information from </w:t>
            </w:r>
            <w:r>
              <w:t>DPS</w:t>
            </w:r>
            <w:r w:rsidRPr="00DA548E">
              <w:t xml:space="preserve"> and the </w:t>
            </w:r>
            <w:r>
              <w:t>FBI</w:t>
            </w:r>
            <w:r>
              <w:t xml:space="preserve">, </w:t>
            </w:r>
            <w:r>
              <w:t>prohibits TDLR from issuing a license to a person who does not comply with that requi</w:t>
            </w:r>
            <w:r>
              <w:t>rement</w:t>
            </w:r>
            <w:r>
              <w:t>,</w:t>
            </w:r>
            <w:r>
              <w:t xml:space="preserve"> and</w:t>
            </w:r>
            <w:r>
              <w:t xml:space="preserve"> sets out related provisions</w:t>
            </w:r>
            <w:r>
              <w:t>. The bill</w:t>
            </w:r>
            <w:r>
              <w:t xml:space="preserve"> requir</w:t>
            </w:r>
            <w:r>
              <w:t>es</w:t>
            </w:r>
            <w:r>
              <w:t xml:space="preserve"> TDLR to obtain </w:t>
            </w:r>
            <w:r>
              <w:t xml:space="preserve">by certain dates and in a certain manner </w:t>
            </w:r>
            <w:r>
              <w:t xml:space="preserve">criminal history record information on persons who hold a plumbing license on </w:t>
            </w:r>
            <w:r w:rsidRPr="00405D02">
              <w:t>September 1, 2019,</w:t>
            </w:r>
            <w:r>
              <w:t xml:space="preserve"> </w:t>
            </w:r>
            <w:r>
              <w:t>and</w:t>
            </w:r>
            <w:r>
              <w:t xml:space="preserve"> </w:t>
            </w:r>
            <w:r>
              <w:t xml:space="preserve">who </w:t>
            </w:r>
            <w:r>
              <w:t xml:space="preserve">did not undergo a </w:t>
            </w:r>
            <w:r>
              <w:t xml:space="preserve">criminal </w:t>
            </w:r>
            <w:r>
              <w:t>backgroun</w:t>
            </w:r>
            <w:r>
              <w:t>d check on the initial license application</w:t>
            </w:r>
            <w:r>
              <w:t xml:space="preserve"> and </w:t>
            </w:r>
            <w:r>
              <w:t>authorizes TDLR to suspend the license of a person who does not comply with</w:t>
            </w:r>
            <w:r>
              <w:t xml:space="preserve"> providing</w:t>
            </w:r>
            <w:r>
              <w:t xml:space="preserve"> information or fingerprints as requested.</w:t>
            </w:r>
          </w:p>
          <w:p w:rsidR="00633A9C" w:rsidRPr="00424A4C" w:rsidRDefault="00972AC3" w:rsidP="00C84721">
            <w:pPr>
              <w:pStyle w:val="Header"/>
              <w:spacing w:before="120" w:after="120"/>
              <w:contextualSpacing/>
              <w:jc w:val="both"/>
              <w:rPr>
                <w:sz w:val="20"/>
              </w:rPr>
            </w:pPr>
          </w:p>
          <w:p w:rsidR="000B7B38" w:rsidRDefault="00972AC3" w:rsidP="00C84721">
            <w:pPr>
              <w:pStyle w:val="Header"/>
              <w:spacing w:before="120" w:after="120"/>
              <w:contextualSpacing/>
              <w:jc w:val="both"/>
            </w:pPr>
            <w:r>
              <w:t>S.B.</w:t>
            </w:r>
            <w:r>
              <w:t xml:space="preserve"> </w:t>
            </w:r>
            <w:r>
              <w:t>621</w:t>
            </w:r>
            <w:r>
              <w:t xml:space="preserve"> </w:t>
            </w:r>
            <w:r w:rsidRPr="00405D02">
              <w:t>revises the provisions setting out the circumstances under which a plum</w:t>
            </w:r>
            <w:r w:rsidRPr="00405D02">
              <w:t>bing license, endorsement, or registration is required</w:t>
            </w:r>
            <w:r w:rsidRPr="00BD2D5A">
              <w:t xml:space="preserve"> and requires an individual to hold a plumbing contractor license, be employed by a plumbing contractor, or contract with a plumbing contractor </w:t>
            </w:r>
            <w:r w:rsidRPr="00296584">
              <w:t xml:space="preserve">to perform or offer to perform plumbing </w:t>
            </w:r>
            <w:r w:rsidRPr="00BD2D5A">
              <w:t>for compensation</w:t>
            </w:r>
            <w:r>
              <w:t xml:space="preserve"> w</w:t>
            </w:r>
            <w:r>
              <w:t>ith certain exceptions for work in an unincorporated area of Texas</w:t>
            </w:r>
            <w:r w:rsidRPr="00405D02">
              <w:t>.</w:t>
            </w:r>
            <w:r>
              <w:t xml:space="preserve"> The bill revises applicable provisions to replace</w:t>
            </w:r>
            <w:r w:rsidRPr="00D47559">
              <w:t xml:space="preserve"> the responsible master plumber designation with a plumbing contractor license</w:t>
            </w:r>
            <w:r>
              <w:t>. The bill:</w:t>
            </w:r>
          </w:p>
          <w:p w:rsidR="000B7B38" w:rsidRDefault="00972AC3" w:rsidP="003E5438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establishes that the authorization of a person </w:t>
            </w:r>
            <w:r>
              <w:t>holding a designation on September 1, 2019, to act as a responsible master plumber continues in effect until September 1, 2020;</w:t>
            </w:r>
          </w:p>
          <w:p w:rsidR="000B7B38" w:rsidRDefault="00972AC3" w:rsidP="003E5438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 xml:space="preserve">expressly does not require a person to hold a plumbing contractor license to perform or offer to perform plumbing for compensation until September 1, 2020; </w:t>
            </w:r>
          </w:p>
          <w:p w:rsidR="000B7B38" w:rsidRDefault="00972AC3" w:rsidP="003E5438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authorizes a person holding a designation to act as a responsible master plumber on September 1, 20</w:t>
            </w:r>
            <w:r>
              <w:t xml:space="preserve">19, to apply at no cost to the person for a plumbing contractor license until September 1, 2020; </w:t>
            </w:r>
          </w:p>
          <w:p w:rsidR="0010153D" w:rsidRDefault="00972AC3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requires a person who applies for a plumbing contractor license after September 1, 2020, to pay any fee required by law for the license; and</w:t>
            </w:r>
          </w:p>
          <w:p w:rsidR="000B7B38" w:rsidRDefault="00972AC3">
            <w:pPr>
              <w:pStyle w:val="Header"/>
              <w:numPr>
                <w:ilvl w:val="0"/>
                <w:numId w:val="4"/>
              </w:numPr>
              <w:spacing w:before="120" w:after="120"/>
              <w:jc w:val="both"/>
            </w:pPr>
            <w:r>
              <w:t>eliminates the tr</w:t>
            </w:r>
            <w:r>
              <w:t>aining program for a person holding a designation to act as a responsible master plumber as a prerequisite for a plumbing contractor.</w:t>
            </w:r>
          </w:p>
          <w:p w:rsidR="000B7B38" w:rsidRDefault="00972AC3" w:rsidP="00C84721">
            <w:pPr>
              <w:pStyle w:val="Header"/>
              <w:spacing w:before="120" w:after="120"/>
              <w:contextualSpacing/>
              <w:jc w:val="both"/>
            </w:pPr>
            <w:r>
              <w:t>The bill defines "plumbing contractor" as a person licensed as a plumbing contractor who is a master plumber, or employs a</w:t>
            </w:r>
            <w:r>
              <w:t xml:space="preserve"> master plumber, for the purpose of offering and performing plumbing work that will be performed or supervised by the master plumber; is authorized to obtain permits for plumbing work; assumes responsibility for plumbing work performed for compensation pai</w:t>
            </w:r>
            <w:r>
              <w:t xml:space="preserve">d to the person; and has submitted a </w:t>
            </w:r>
            <w:r>
              <w:t xml:space="preserve">required </w:t>
            </w:r>
            <w:r>
              <w:t xml:space="preserve">certificate of </w:t>
            </w:r>
            <w:r w:rsidRPr="0057065A">
              <w:t>insurance</w:t>
            </w:r>
            <w:r>
              <w:t>.</w:t>
            </w:r>
          </w:p>
          <w:p w:rsidR="00DA548E" w:rsidRDefault="00972AC3" w:rsidP="00C84721">
            <w:pPr>
              <w:pStyle w:val="Header"/>
              <w:spacing w:before="120" w:after="120"/>
              <w:contextualSpacing/>
              <w:jc w:val="both"/>
            </w:pPr>
          </w:p>
          <w:p w:rsidR="00DA548E" w:rsidRDefault="00972AC3" w:rsidP="00C84721">
            <w:pPr>
              <w:pStyle w:val="Header"/>
              <w:spacing w:before="120" w:after="120"/>
              <w:contextualSpacing/>
              <w:jc w:val="both"/>
            </w:pPr>
            <w:r>
              <w:t xml:space="preserve">S.B. </w:t>
            </w:r>
            <w:r>
              <w:t>621</w:t>
            </w:r>
            <w:r>
              <w:t xml:space="preserve"> </w:t>
            </w:r>
            <w:r>
              <w:t xml:space="preserve">revises </w:t>
            </w:r>
            <w:r>
              <w:t>provision</w:t>
            </w:r>
            <w:r>
              <w:t>s</w:t>
            </w:r>
            <w:r>
              <w:t xml:space="preserve"> relating to the </w:t>
            </w:r>
            <w:r>
              <w:t xml:space="preserve">qualifications to serve as and the powers of a field </w:t>
            </w:r>
            <w:r>
              <w:t xml:space="preserve">representative </w:t>
            </w:r>
            <w:r>
              <w:t xml:space="preserve">employed to assist in enforcing </w:t>
            </w:r>
            <w:r w:rsidRPr="006F57AF">
              <w:t>the Plumbing License Law</w:t>
            </w:r>
            <w:r>
              <w:t>.</w:t>
            </w:r>
            <w:r>
              <w:t xml:space="preserve"> </w:t>
            </w:r>
            <w:r>
              <w:t>The</w:t>
            </w:r>
            <w:r>
              <w:t xml:space="preserve"> </w:t>
            </w:r>
            <w:r>
              <w:t xml:space="preserve">bill </w:t>
            </w:r>
            <w:r>
              <w:t>requ</w:t>
            </w:r>
            <w:r>
              <w:t xml:space="preserve">ires TDLR to employ </w:t>
            </w:r>
            <w:r>
              <w:t xml:space="preserve">a field representative to assist TDLR in </w:t>
            </w:r>
            <w:r>
              <w:t>enforcing</w:t>
            </w:r>
            <w:r>
              <w:t xml:space="preserve"> that law and rules adopted under that law and to employ </w:t>
            </w:r>
            <w:r>
              <w:t xml:space="preserve">or contract with a person who holds a license </w:t>
            </w:r>
            <w:r>
              <w:t>under that law</w:t>
            </w:r>
            <w:r>
              <w:t xml:space="preserve"> </w:t>
            </w:r>
            <w:r>
              <w:t>to conduct or assist in an inspection or investigation involving the</w:t>
            </w:r>
            <w:r>
              <w:t xml:space="preserve"> quality of plumbing work</w:t>
            </w:r>
            <w:r>
              <w:t>, including whether the work complies with applicable plumbing code requirements</w:t>
            </w:r>
            <w:r>
              <w:t xml:space="preserve">. The bill </w:t>
            </w:r>
            <w:r>
              <w:t>removes provisions relating to the registration of individuals as drain cleaners, drain clea</w:t>
            </w:r>
            <w:r>
              <w:t>ne</w:t>
            </w:r>
            <w:r>
              <w:t>r</w:t>
            </w:r>
            <w:r>
              <w:noBreakHyphen/>
            </w:r>
            <w:r>
              <w:t>restricted registrants, and residential util</w:t>
            </w:r>
            <w:r>
              <w:t>ities installers</w:t>
            </w:r>
            <w:r>
              <w:t xml:space="preserve"> </w:t>
            </w:r>
            <w:r>
              <w:t>and authorizes a plumber</w:t>
            </w:r>
            <w:r>
              <w:t>'</w:t>
            </w:r>
            <w:r>
              <w:t>s appr</w:t>
            </w:r>
            <w:r>
              <w:t>entice to perform those</w:t>
            </w:r>
            <w:r>
              <w:t xml:space="preserve"> tasks</w:t>
            </w:r>
            <w:r>
              <w:t xml:space="preserve"> after meeting certain classroom training or practical experience requirements</w:t>
            </w:r>
            <w:r>
              <w:t xml:space="preserve">. </w:t>
            </w:r>
          </w:p>
          <w:p w:rsidR="00F76144" w:rsidRDefault="00972AC3" w:rsidP="00C84721">
            <w:pPr>
              <w:pStyle w:val="Header"/>
              <w:spacing w:before="120" w:after="120"/>
              <w:contextualSpacing/>
              <w:jc w:val="both"/>
            </w:pPr>
          </w:p>
          <w:p w:rsidR="008272EA" w:rsidRDefault="00972AC3" w:rsidP="00C84721">
            <w:pPr>
              <w:pStyle w:val="Header"/>
              <w:spacing w:before="120" w:after="120"/>
              <w:contextualSpacing/>
              <w:jc w:val="both"/>
            </w:pPr>
            <w:r>
              <w:t>S.B.</w:t>
            </w:r>
            <w:r>
              <w:t xml:space="preserve"> </w:t>
            </w:r>
            <w:r>
              <w:t>621</w:t>
            </w:r>
            <w:r>
              <w:t xml:space="preserve"> </w:t>
            </w:r>
            <w:r>
              <w:t xml:space="preserve">repeals provisions </w:t>
            </w:r>
            <w:r>
              <w:t xml:space="preserve">that </w:t>
            </w:r>
            <w:r>
              <w:t>set out procedures for licensing certain out-of-state applicants</w:t>
            </w:r>
            <w:r>
              <w:t xml:space="preserve"> and provid</w:t>
            </w:r>
            <w:r>
              <w:t>e</w:t>
            </w:r>
            <w:r>
              <w:t xml:space="preserve"> for the issuance of </w:t>
            </w:r>
            <w:r>
              <w:t xml:space="preserve">temporary </w:t>
            </w:r>
            <w:r>
              <w:t xml:space="preserve">licenses. The bill </w:t>
            </w:r>
            <w:r>
              <w:t>authorizes</w:t>
            </w:r>
            <w:r>
              <w:t xml:space="preserve"> </w:t>
            </w:r>
            <w:r>
              <w:t>TCLR</w:t>
            </w:r>
            <w:r>
              <w:t xml:space="preserve"> or TDLR to </w:t>
            </w:r>
            <w:r>
              <w:t>issue</w:t>
            </w:r>
            <w:r w:rsidRPr="009C27EF">
              <w:t xml:space="preserve"> a </w:t>
            </w:r>
            <w:r>
              <w:t xml:space="preserve">plumbing </w:t>
            </w:r>
            <w:r w:rsidRPr="009C27EF">
              <w:t>license, endorsement, or certificate of registration for an applicant who holds a similar license, endorsement, or certificate issued by another juris</w:t>
            </w:r>
            <w:r w:rsidRPr="009C27EF">
              <w:t>diction</w:t>
            </w:r>
            <w:r>
              <w:t>. The bill sets out related provisions</w:t>
            </w:r>
            <w:r>
              <w:t>,</w:t>
            </w:r>
            <w:r>
              <w:t xml:space="preserve"> </w:t>
            </w:r>
            <w:r>
              <w:t xml:space="preserve">including </w:t>
            </w:r>
            <w:r>
              <w:t xml:space="preserve">provisions </w:t>
            </w:r>
            <w:r>
              <w:t>establishing an exemption from examination requirements for a person applicably licensed, endorsed</w:t>
            </w:r>
            <w:r>
              <w:t>,</w:t>
            </w:r>
            <w:r>
              <w:t xml:space="preserve"> or certified in another jurisdiction for at least two years</w:t>
            </w:r>
            <w:r w:rsidRPr="009C27EF">
              <w:t>.</w:t>
            </w:r>
            <w:r>
              <w:t xml:space="preserve"> </w:t>
            </w:r>
            <w:r>
              <w:t>The bill</w:t>
            </w:r>
            <w:r w:rsidRPr="008272EA">
              <w:t xml:space="preserve"> authorizes TDLR to</w:t>
            </w:r>
            <w:r w:rsidRPr="008272EA">
              <w:t xml:space="preserve"> issue a temporary license, endorsement, or certificate of registration </w:t>
            </w:r>
            <w:r>
              <w:t>that</w:t>
            </w:r>
            <w:r w:rsidRPr="00F76144">
              <w:t xml:space="preserve"> </w:t>
            </w:r>
            <w:r w:rsidRPr="00DE27C6">
              <w:t>expires on the 30th day after the date of issuance and may not be renewed.</w:t>
            </w:r>
          </w:p>
          <w:p w:rsidR="00F76144" w:rsidRDefault="00972AC3" w:rsidP="00C84721">
            <w:pPr>
              <w:pStyle w:val="Header"/>
              <w:spacing w:before="120" w:after="120"/>
              <w:contextualSpacing/>
              <w:jc w:val="both"/>
            </w:pPr>
          </w:p>
          <w:p w:rsidR="0013492F" w:rsidRDefault="00972AC3" w:rsidP="00C84721">
            <w:pPr>
              <w:pStyle w:val="Header"/>
              <w:spacing w:before="120" w:after="120"/>
              <w:contextualSpacing/>
              <w:jc w:val="both"/>
            </w:pPr>
            <w:r>
              <w:t>S.B.</w:t>
            </w:r>
            <w:r>
              <w:t xml:space="preserve"> </w:t>
            </w:r>
            <w:r>
              <w:t>621</w:t>
            </w:r>
            <w:r>
              <w:t xml:space="preserve"> </w:t>
            </w:r>
            <w:r>
              <w:t xml:space="preserve">authorizes TCLR to set a one- or two-year </w:t>
            </w:r>
            <w:r>
              <w:t>renewal period for a license or certificate of regis</w:t>
            </w:r>
            <w:r>
              <w:t>tration</w:t>
            </w:r>
            <w:r>
              <w:t xml:space="preserve"> under the Plumbing License Law</w:t>
            </w:r>
            <w:r>
              <w:t xml:space="preserve">. The bill </w:t>
            </w:r>
            <w:r w:rsidRPr="00405D02">
              <w:t>align</w:t>
            </w:r>
            <w:r w:rsidRPr="00F45DC0">
              <w:t>s</w:t>
            </w:r>
            <w:r w:rsidRPr="00EF48AF">
              <w:t xml:space="preserve"> </w:t>
            </w:r>
            <w:r>
              <w:t xml:space="preserve">the </w:t>
            </w:r>
            <w:r>
              <w:t xml:space="preserve">expiration </w:t>
            </w:r>
            <w:r>
              <w:t xml:space="preserve">date of </w:t>
            </w:r>
            <w:r w:rsidRPr="00EF48AF">
              <w:t>endorsement</w:t>
            </w:r>
            <w:r>
              <w:t>s</w:t>
            </w:r>
            <w:r>
              <w:t xml:space="preserve"> for a </w:t>
            </w:r>
            <w:r>
              <w:t>medical gas pipe installer,</w:t>
            </w:r>
            <w:r>
              <w:t xml:space="preserve"> multipurpose residential fire protection sprinkler specialist, and water supply protection specialist</w:t>
            </w:r>
            <w:r w:rsidRPr="00EF48AF">
              <w:t xml:space="preserve"> </w:t>
            </w:r>
            <w:r>
              <w:t>with that of</w:t>
            </w:r>
            <w:r w:rsidRPr="00EF48AF">
              <w:t xml:space="preserve"> </w:t>
            </w:r>
            <w:r>
              <w:t>the</w:t>
            </w:r>
            <w:r>
              <w:t xml:space="preserve"> master plumber or journeyman plumber </w:t>
            </w:r>
            <w:r w:rsidRPr="00EF48AF">
              <w:t>license</w:t>
            </w:r>
            <w:r>
              <w:t xml:space="preserve"> of the endorsement holder</w:t>
            </w:r>
            <w:r>
              <w:t xml:space="preserve"> and repeals related provisions.</w:t>
            </w:r>
            <w:r>
              <w:t xml:space="preserve"> </w:t>
            </w:r>
            <w:r>
              <w:t>The bill revises provisions relating to the mandatory continuing professional education for all persons who hold plumbing licenses or endorsements to de</w:t>
            </w:r>
            <w:r>
              <w:t xml:space="preserve">lineate the duties of TCLR and TDLR with respect to the continuing education required of those persons. The bill </w:t>
            </w:r>
            <w:r>
              <w:t>authorizes</w:t>
            </w:r>
            <w:r>
              <w:t xml:space="preserve"> TCLR to establish by rule continuing education requirements for persons who hold a certificate of registration as a plumber's appren</w:t>
            </w:r>
            <w:r>
              <w:t>tice.</w:t>
            </w:r>
            <w:r>
              <w:t xml:space="preserve"> The bill clarifies that TCLR, TDLR, or the executive director of TDLR may enforce the Plumbing License Law, a rule adopted under that law, or an order of TCLR or the executive director</w:t>
            </w:r>
            <w:r>
              <w:t xml:space="preserve"> as provided by applicable law and revises the grounds for discipl</w:t>
            </w:r>
            <w:r>
              <w:t>inary action to include disciplining improperly licensed or unlicensed individuals.</w:t>
            </w:r>
            <w:r>
              <w:t xml:space="preserve"> </w:t>
            </w:r>
            <w:r>
              <w:t xml:space="preserve">The bill repeals a </w:t>
            </w:r>
            <w:r>
              <w:t xml:space="preserve">provision authorizing investigations by an enforcement committee. </w:t>
            </w:r>
          </w:p>
          <w:p w:rsidR="002457E8" w:rsidRDefault="00972AC3" w:rsidP="00C84721">
            <w:pPr>
              <w:pStyle w:val="Header"/>
              <w:spacing w:before="120" w:after="120"/>
              <w:contextualSpacing/>
              <w:jc w:val="both"/>
            </w:pPr>
          </w:p>
          <w:p w:rsidR="002457E8" w:rsidRDefault="00972AC3" w:rsidP="00C84721">
            <w:pPr>
              <w:pStyle w:val="Header"/>
              <w:spacing w:before="120" w:after="120"/>
              <w:contextualSpacing/>
              <w:jc w:val="both"/>
            </w:pPr>
            <w:r>
              <w:t xml:space="preserve">S.B. </w:t>
            </w:r>
            <w:r>
              <w:t>621</w:t>
            </w:r>
            <w:r>
              <w:t xml:space="preserve"> amends the Education Code, Government Code, Health and Safety Code, Local Go</w:t>
            </w:r>
            <w:r>
              <w:t>vernment Code, and Natural Resources Code to make conforming changes.</w:t>
            </w:r>
          </w:p>
          <w:p w:rsidR="002457E8" w:rsidRDefault="00972AC3" w:rsidP="00C84721">
            <w:pPr>
              <w:pStyle w:val="Header"/>
              <w:spacing w:before="120" w:after="120"/>
              <w:contextualSpacing/>
              <w:jc w:val="both"/>
            </w:pPr>
          </w:p>
          <w:p w:rsidR="002457E8" w:rsidRDefault="00972AC3" w:rsidP="00C84721">
            <w:pPr>
              <w:pStyle w:val="Header"/>
              <w:spacing w:before="120" w:after="120"/>
              <w:contextualSpacing/>
              <w:jc w:val="both"/>
            </w:pPr>
            <w:r>
              <w:t xml:space="preserve">S.B. </w:t>
            </w:r>
            <w:r>
              <w:t>621</w:t>
            </w:r>
            <w:r>
              <w:t xml:space="preserve"> repeals the following provisions of the Occupations Code:</w:t>
            </w:r>
          </w:p>
          <w:p w:rsidR="002457E8" w:rsidRDefault="00972AC3" w:rsidP="003E543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Sections 51.351(c) and (d)</w:t>
            </w:r>
          </w:p>
          <w:p w:rsidR="002457E8" w:rsidRDefault="00972AC3" w:rsidP="003E543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1301.002(9-a)</w:t>
            </w:r>
          </w:p>
          <w:p w:rsidR="002457E8" w:rsidRDefault="00972AC3" w:rsidP="003E5438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1301.003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1301.153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1301.155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1301.156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1301.159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1301.201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1301.204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1301.205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1301.207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1301.208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1301.252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1301.254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1301.256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Section 1301.258, as added by Chapter 1276 (H.B. 3507), Acts of the 78th Legislature, Regular Session, </w:t>
            </w:r>
            <w:r>
              <w:t>2003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1301.258, as added by Chapter 819 (S.B. 282), Acts of the 78th Legislature, Regular Session, 2003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1301.259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1301.260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1301.261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1301.301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1301.3015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1301.303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1301.304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1301.351(a-2)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</w:t>
            </w:r>
            <w:r>
              <w:t>tion 1301.3521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1301.355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1301.356(c)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1301.3565(c)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1301.357(c)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1301.358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1301.3585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1301.402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1301.403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1301.451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1301.4521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1301.4522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1301.453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1301.454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</w:t>
            </w:r>
            <w:r>
              <w:t xml:space="preserve"> 1301.502(b)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1301.504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1301.5045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1301.505</w:t>
            </w:r>
          </w:p>
          <w:p w:rsidR="002457E8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Section 1301.506</w:t>
            </w:r>
          </w:p>
          <w:p w:rsidR="002457E8" w:rsidRPr="00EA62F0" w:rsidRDefault="00972AC3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Subchapter N, Chapter 1301</w:t>
            </w:r>
          </w:p>
          <w:p w:rsidR="008423E4" w:rsidRPr="00C84721" w:rsidRDefault="00972AC3" w:rsidP="00C84721">
            <w:pPr>
              <w:contextualSpacing/>
              <w:rPr>
                <w:b/>
                <w:sz w:val="16"/>
              </w:rPr>
            </w:pPr>
          </w:p>
        </w:tc>
      </w:tr>
      <w:tr w:rsidR="006625DA" w:rsidTr="00345119">
        <w:tc>
          <w:tcPr>
            <w:tcW w:w="9576" w:type="dxa"/>
          </w:tcPr>
          <w:p w:rsidR="008423E4" w:rsidRPr="00A8133F" w:rsidRDefault="00972AC3" w:rsidP="002B7767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72AC3" w:rsidP="002B7767"/>
          <w:p w:rsidR="008423E4" w:rsidRPr="00233FDB" w:rsidRDefault="00972AC3" w:rsidP="002B7767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</w:tc>
      </w:tr>
    </w:tbl>
    <w:p w:rsidR="004108C3" w:rsidRPr="00C84721" w:rsidRDefault="00972AC3" w:rsidP="008423E4">
      <w:pPr>
        <w:rPr>
          <w:sz w:val="2"/>
          <w:szCs w:val="2"/>
        </w:rPr>
      </w:pPr>
    </w:p>
    <w:sectPr w:rsidR="004108C3" w:rsidRPr="00C84721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72AC3">
      <w:r>
        <w:separator/>
      </w:r>
    </w:p>
  </w:endnote>
  <w:endnote w:type="continuationSeparator" w:id="0">
    <w:p w:rsidR="00000000" w:rsidRDefault="0097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72AC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625DA" w:rsidTr="009C1E9A">
      <w:trPr>
        <w:cantSplit/>
      </w:trPr>
      <w:tc>
        <w:tcPr>
          <w:tcW w:w="0" w:type="pct"/>
        </w:tcPr>
        <w:p w:rsidR="00137D90" w:rsidRDefault="00972A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72AC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72AC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72A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72A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25DA" w:rsidTr="009C1E9A">
      <w:trPr>
        <w:cantSplit/>
      </w:trPr>
      <w:tc>
        <w:tcPr>
          <w:tcW w:w="0" w:type="pct"/>
        </w:tcPr>
        <w:p w:rsidR="00EC379B" w:rsidRDefault="00972AC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72AC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28428</w:t>
          </w:r>
        </w:p>
      </w:tc>
      <w:tc>
        <w:tcPr>
          <w:tcW w:w="2453" w:type="pct"/>
        </w:tcPr>
        <w:p w:rsidR="00EC379B" w:rsidRDefault="00972A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19.112.1148</w:t>
          </w:r>
          <w:r>
            <w:fldChar w:fldCharType="end"/>
          </w:r>
        </w:p>
      </w:tc>
    </w:tr>
    <w:tr w:rsidR="006625DA" w:rsidTr="009C1E9A">
      <w:trPr>
        <w:cantSplit/>
      </w:trPr>
      <w:tc>
        <w:tcPr>
          <w:tcW w:w="0" w:type="pct"/>
        </w:tcPr>
        <w:p w:rsidR="00EC379B" w:rsidRDefault="00972AC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72AC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72AC3" w:rsidP="006D504F">
          <w:pPr>
            <w:pStyle w:val="Footer"/>
            <w:rPr>
              <w:rStyle w:val="PageNumber"/>
            </w:rPr>
          </w:pPr>
        </w:p>
        <w:p w:rsidR="00EC379B" w:rsidRDefault="00972AC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625D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72AC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5</w:t>
          </w:r>
          <w:r>
            <w:rPr>
              <w:rStyle w:val="PageNumber"/>
            </w:rPr>
            <w:fldChar w:fldCharType="end"/>
          </w:r>
        </w:p>
        <w:p w:rsidR="00EC379B" w:rsidRDefault="00972AC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72AC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72A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72AC3">
      <w:r>
        <w:separator/>
      </w:r>
    </w:p>
  </w:footnote>
  <w:footnote w:type="continuationSeparator" w:id="0">
    <w:p w:rsidR="00000000" w:rsidRDefault="00972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72AC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72A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72A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678E5"/>
    <w:multiLevelType w:val="hybridMultilevel"/>
    <w:tmpl w:val="8F2873A4"/>
    <w:lvl w:ilvl="0" w:tplc="53C87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CC15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D01C0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F240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CE891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CE1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6864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EAA9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3F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A01BC"/>
    <w:multiLevelType w:val="hybridMultilevel"/>
    <w:tmpl w:val="CDC0C59E"/>
    <w:lvl w:ilvl="0" w:tplc="C834F436">
      <w:start w:val="1"/>
      <w:numFmt w:val="decimal"/>
      <w:lvlText w:val="(%1)"/>
      <w:lvlJc w:val="left"/>
      <w:pPr>
        <w:ind w:left="765" w:hanging="405"/>
      </w:pPr>
      <w:rPr>
        <w:rFonts w:hint="default"/>
      </w:rPr>
    </w:lvl>
    <w:lvl w:ilvl="1" w:tplc="7C38CBFA" w:tentative="1">
      <w:start w:val="1"/>
      <w:numFmt w:val="lowerLetter"/>
      <w:lvlText w:val="%2."/>
      <w:lvlJc w:val="left"/>
      <w:pPr>
        <w:ind w:left="1440" w:hanging="360"/>
      </w:pPr>
    </w:lvl>
    <w:lvl w:ilvl="2" w:tplc="D17AC364" w:tentative="1">
      <w:start w:val="1"/>
      <w:numFmt w:val="lowerRoman"/>
      <w:lvlText w:val="%3."/>
      <w:lvlJc w:val="right"/>
      <w:pPr>
        <w:ind w:left="2160" w:hanging="180"/>
      </w:pPr>
    </w:lvl>
    <w:lvl w:ilvl="3" w:tplc="800274FC" w:tentative="1">
      <w:start w:val="1"/>
      <w:numFmt w:val="decimal"/>
      <w:lvlText w:val="%4."/>
      <w:lvlJc w:val="left"/>
      <w:pPr>
        <w:ind w:left="2880" w:hanging="360"/>
      </w:pPr>
    </w:lvl>
    <w:lvl w:ilvl="4" w:tplc="582C16D8" w:tentative="1">
      <w:start w:val="1"/>
      <w:numFmt w:val="lowerLetter"/>
      <w:lvlText w:val="%5."/>
      <w:lvlJc w:val="left"/>
      <w:pPr>
        <w:ind w:left="3600" w:hanging="360"/>
      </w:pPr>
    </w:lvl>
    <w:lvl w:ilvl="5" w:tplc="DE888D52" w:tentative="1">
      <w:start w:val="1"/>
      <w:numFmt w:val="lowerRoman"/>
      <w:lvlText w:val="%6."/>
      <w:lvlJc w:val="right"/>
      <w:pPr>
        <w:ind w:left="4320" w:hanging="180"/>
      </w:pPr>
    </w:lvl>
    <w:lvl w:ilvl="6" w:tplc="1FAEDB88" w:tentative="1">
      <w:start w:val="1"/>
      <w:numFmt w:val="decimal"/>
      <w:lvlText w:val="%7."/>
      <w:lvlJc w:val="left"/>
      <w:pPr>
        <w:ind w:left="5040" w:hanging="360"/>
      </w:pPr>
    </w:lvl>
    <w:lvl w:ilvl="7" w:tplc="6C58F47A" w:tentative="1">
      <w:start w:val="1"/>
      <w:numFmt w:val="lowerLetter"/>
      <w:lvlText w:val="%8."/>
      <w:lvlJc w:val="left"/>
      <w:pPr>
        <w:ind w:left="5760" w:hanging="360"/>
      </w:pPr>
    </w:lvl>
    <w:lvl w:ilvl="8" w:tplc="AF5CD7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8636EF"/>
    <w:multiLevelType w:val="hybridMultilevel"/>
    <w:tmpl w:val="70F0FF56"/>
    <w:lvl w:ilvl="0" w:tplc="54F0F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F23C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37A7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AA9E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C02A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328B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686D2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B42A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6EB7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A259A"/>
    <w:multiLevelType w:val="hybridMultilevel"/>
    <w:tmpl w:val="86B0B412"/>
    <w:lvl w:ilvl="0" w:tplc="0C883C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3A20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05A79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4D2E4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C60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90B3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8AA8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BA8F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DB8C4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7854D6"/>
    <w:multiLevelType w:val="hybridMultilevel"/>
    <w:tmpl w:val="BF5C9E50"/>
    <w:lvl w:ilvl="0" w:tplc="32CAD5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6037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F2A46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32C0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60D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7129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B498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900A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F747D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5DA"/>
    <w:rsid w:val="006625DA"/>
    <w:rsid w:val="0097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BEC1428-62C0-4CB0-A07C-1903A8B17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2072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0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072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0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0721"/>
    <w:rPr>
      <w:b/>
      <w:bCs/>
    </w:rPr>
  </w:style>
  <w:style w:type="paragraph" w:styleId="ListParagraph">
    <w:name w:val="List Paragraph"/>
    <w:basedOn w:val="Normal"/>
    <w:uiPriority w:val="34"/>
    <w:qFormat/>
    <w:rsid w:val="002457E8"/>
    <w:pPr>
      <w:ind w:left="720"/>
      <w:contextualSpacing/>
    </w:pPr>
  </w:style>
  <w:style w:type="paragraph" w:styleId="Revision">
    <w:name w:val="Revision"/>
    <w:hidden/>
    <w:uiPriority w:val="99"/>
    <w:semiHidden/>
    <w:rsid w:val="00D73A47"/>
    <w:rPr>
      <w:sz w:val="24"/>
      <w:szCs w:val="24"/>
    </w:rPr>
  </w:style>
  <w:style w:type="character" w:styleId="Hyperlink">
    <w:name w:val="Hyperlink"/>
    <w:basedOn w:val="DefaultParagraphFont"/>
    <w:unhideWhenUsed/>
    <w:rsid w:val="008E4EB4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54C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54CB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1669</Words>
  <Characters>9481</Characters>
  <Application>Microsoft Office Word</Application>
  <DocSecurity>4</DocSecurity>
  <Lines>201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SB00621 (Committee Report (Unamended))</vt:lpstr>
    </vt:vector>
  </TitlesOfParts>
  <Company>State of Texas</Company>
  <LinksUpToDate>false</LinksUpToDate>
  <CharactersWithSpaces>11139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28428</dc:subject>
  <dc:creator>State of Texas</dc:creator>
  <dc:description>SB 621 by Nichols-(H)Licensing &amp; Administrative Procedures</dc:description>
  <cp:lastModifiedBy>Stacey Nicchio</cp:lastModifiedBy>
  <cp:revision>2</cp:revision>
  <cp:lastPrinted>2019-04-18T17:53:00Z</cp:lastPrinted>
  <dcterms:created xsi:type="dcterms:W3CDTF">2019-04-23T17:20:00Z</dcterms:created>
  <dcterms:modified xsi:type="dcterms:W3CDTF">2019-04-23T17:20:00Z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19.112.1148</vt:lpwstr>
  </property>
</Properties>
</file>