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F4DFC" w:rsidTr="00345119">
        <w:tc>
          <w:tcPr>
            <w:tcW w:w="9576" w:type="dxa"/>
            <w:noWrap/>
          </w:tcPr>
          <w:p w:rsidR="008423E4" w:rsidRPr="0022177D" w:rsidRDefault="00A90ED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0ED2" w:rsidP="008423E4">
      <w:pPr>
        <w:jc w:val="center"/>
      </w:pPr>
    </w:p>
    <w:p w:rsidR="008423E4" w:rsidRPr="00B31F0E" w:rsidRDefault="00A90ED2" w:rsidP="008423E4"/>
    <w:p w:rsidR="008423E4" w:rsidRPr="00742794" w:rsidRDefault="00A90ED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F4DFC" w:rsidTr="00345119">
        <w:tc>
          <w:tcPr>
            <w:tcW w:w="9576" w:type="dxa"/>
          </w:tcPr>
          <w:p w:rsidR="008423E4" w:rsidRPr="00861995" w:rsidRDefault="00A90ED2" w:rsidP="004B44D3">
            <w:pPr>
              <w:jc w:val="right"/>
            </w:pPr>
            <w:r>
              <w:t>C.S.S.B. 670</w:t>
            </w:r>
          </w:p>
        </w:tc>
      </w:tr>
      <w:tr w:rsidR="00AF4DFC" w:rsidTr="00345119">
        <w:tc>
          <w:tcPr>
            <w:tcW w:w="9576" w:type="dxa"/>
          </w:tcPr>
          <w:p w:rsidR="008423E4" w:rsidRPr="00861995" w:rsidRDefault="00A90ED2" w:rsidP="007F77D5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AF4DFC" w:rsidTr="00345119">
        <w:tc>
          <w:tcPr>
            <w:tcW w:w="9576" w:type="dxa"/>
          </w:tcPr>
          <w:p w:rsidR="008423E4" w:rsidRPr="00861995" w:rsidRDefault="00A90ED2" w:rsidP="004B44D3">
            <w:pPr>
              <w:jc w:val="right"/>
            </w:pPr>
            <w:r>
              <w:t>Public Health</w:t>
            </w:r>
          </w:p>
        </w:tc>
      </w:tr>
      <w:tr w:rsidR="00AF4DFC" w:rsidTr="00345119">
        <w:tc>
          <w:tcPr>
            <w:tcW w:w="9576" w:type="dxa"/>
          </w:tcPr>
          <w:p w:rsidR="008423E4" w:rsidRDefault="00A90ED2" w:rsidP="004B44D3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90ED2" w:rsidP="008423E4">
      <w:pPr>
        <w:tabs>
          <w:tab w:val="right" w:pos="9360"/>
        </w:tabs>
      </w:pPr>
    </w:p>
    <w:p w:rsidR="008423E4" w:rsidRDefault="00A90ED2" w:rsidP="008423E4"/>
    <w:p w:rsidR="008423E4" w:rsidRDefault="00A90ED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F4DFC" w:rsidTr="00345119">
        <w:tc>
          <w:tcPr>
            <w:tcW w:w="9576" w:type="dxa"/>
          </w:tcPr>
          <w:p w:rsidR="008423E4" w:rsidRPr="00A8133F" w:rsidRDefault="00A90ED2" w:rsidP="006D172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0ED2" w:rsidP="006D1720"/>
          <w:p w:rsidR="008423E4" w:rsidRDefault="00A90ED2" w:rsidP="006D1720">
            <w:pPr>
              <w:pStyle w:val="Header"/>
              <w:jc w:val="both"/>
            </w:pPr>
            <w:r>
              <w:t xml:space="preserve">It has been suggested that </w:t>
            </w:r>
            <w:r>
              <w:t>the law</w:t>
            </w:r>
            <w:r>
              <w:t xml:space="preserve"> </w:t>
            </w:r>
            <w:r>
              <w:t xml:space="preserve">relating to </w:t>
            </w:r>
            <w:r>
              <w:t xml:space="preserve">Medicaid </w:t>
            </w:r>
            <w:r>
              <w:t xml:space="preserve">telemedicine and telehealth services </w:t>
            </w:r>
            <w:r>
              <w:t xml:space="preserve">is in need of </w:t>
            </w:r>
            <w:r>
              <w:t xml:space="preserve">further </w:t>
            </w:r>
            <w:r>
              <w:t xml:space="preserve">changes to remove </w:t>
            </w:r>
            <w:r>
              <w:t xml:space="preserve">certain </w:t>
            </w:r>
            <w:r>
              <w:t>unnecessary and burdensome provisions</w:t>
            </w:r>
            <w:r>
              <w:t>.</w:t>
            </w:r>
            <w:r>
              <w:t xml:space="preserve"> </w:t>
            </w:r>
            <w:r w:rsidRPr="00751214">
              <w:t xml:space="preserve">C.S.S.B. 670 </w:t>
            </w:r>
            <w:r>
              <w:t xml:space="preserve">seeks to make </w:t>
            </w:r>
            <w:r>
              <w:t xml:space="preserve">those </w:t>
            </w:r>
            <w:r>
              <w:t xml:space="preserve">changes </w:t>
            </w:r>
            <w:r>
              <w:t xml:space="preserve">to </w:t>
            </w:r>
            <w:r>
              <w:t xml:space="preserve">ensure that patients and providers have access to a full array of choices </w:t>
            </w:r>
            <w:r>
              <w:t>when using</w:t>
            </w:r>
            <w:r>
              <w:t xml:space="preserve"> </w:t>
            </w:r>
            <w:r w:rsidRPr="00E64D8E">
              <w:t>telemedicine</w:t>
            </w:r>
            <w:r>
              <w:t xml:space="preserve"> and telehealth services</w:t>
            </w:r>
            <w:r>
              <w:t>.</w:t>
            </w:r>
          </w:p>
          <w:p w:rsidR="008423E4" w:rsidRPr="00E26B13" w:rsidRDefault="00A90ED2" w:rsidP="006D1720">
            <w:pPr>
              <w:rPr>
                <w:b/>
              </w:rPr>
            </w:pPr>
          </w:p>
        </w:tc>
      </w:tr>
      <w:tr w:rsidR="00AF4DFC" w:rsidTr="00345119">
        <w:tc>
          <w:tcPr>
            <w:tcW w:w="9576" w:type="dxa"/>
          </w:tcPr>
          <w:p w:rsidR="0017725B" w:rsidRDefault="00A90ED2" w:rsidP="006D17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</w:t>
            </w:r>
            <w:r>
              <w:rPr>
                <w:b/>
                <w:u w:val="single"/>
              </w:rPr>
              <w:t>T</w:t>
            </w:r>
          </w:p>
          <w:p w:rsidR="0017725B" w:rsidRDefault="00A90ED2" w:rsidP="006D1720">
            <w:pPr>
              <w:rPr>
                <w:b/>
                <w:u w:val="single"/>
              </w:rPr>
            </w:pPr>
          </w:p>
          <w:p w:rsidR="003375B4" w:rsidRPr="003375B4" w:rsidRDefault="00A90ED2" w:rsidP="006D172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A90ED2" w:rsidP="006D1720">
            <w:pPr>
              <w:rPr>
                <w:b/>
                <w:u w:val="single"/>
              </w:rPr>
            </w:pPr>
          </w:p>
        </w:tc>
      </w:tr>
      <w:tr w:rsidR="00AF4DFC" w:rsidTr="00345119">
        <w:tc>
          <w:tcPr>
            <w:tcW w:w="9576" w:type="dxa"/>
          </w:tcPr>
          <w:p w:rsidR="008423E4" w:rsidRPr="00A8133F" w:rsidRDefault="00A90ED2" w:rsidP="006D172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0ED2" w:rsidP="006D1720"/>
          <w:p w:rsidR="003375B4" w:rsidRDefault="00A90ED2" w:rsidP="006D172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2 of this bill.</w:t>
            </w:r>
          </w:p>
          <w:p w:rsidR="008423E4" w:rsidRPr="00E21FDC" w:rsidRDefault="00A90ED2" w:rsidP="006D1720">
            <w:pPr>
              <w:rPr>
                <w:b/>
              </w:rPr>
            </w:pPr>
          </w:p>
        </w:tc>
      </w:tr>
      <w:tr w:rsidR="00AF4DFC" w:rsidTr="00345119">
        <w:tc>
          <w:tcPr>
            <w:tcW w:w="9576" w:type="dxa"/>
          </w:tcPr>
          <w:p w:rsidR="008423E4" w:rsidRDefault="00A90ED2" w:rsidP="006D172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6D1720" w:rsidRDefault="00A90ED2" w:rsidP="006D1720">
            <w:pPr>
              <w:rPr>
                <w:b/>
              </w:rPr>
            </w:pPr>
          </w:p>
          <w:p w:rsidR="00493430" w:rsidRDefault="00A90ED2" w:rsidP="006D1720">
            <w:pPr>
              <w:pStyle w:val="Header"/>
              <w:jc w:val="both"/>
            </w:pPr>
            <w:r>
              <w:t>C.S.S.B. 670</w:t>
            </w:r>
            <w:r>
              <w:t xml:space="preserve"> amends the Government Code to </w:t>
            </w:r>
            <w:r>
              <w:t xml:space="preserve">revise provisions relating to Medicaid telemedicine and telehealth services. The bill </w:t>
            </w:r>
            <w:r>
              <w:t>remove</w:t>
            </w:r>
            <w:r>
              <w:t>s</w:t>
            </w:r>
            <w:r>
              <w:t xml:space="preserve"> </w:t>
            </w:r>
            <w:r>
              <w:t xml:space="preserve">the </w:t>
            </w:r>
            <w:r>
              <w:t>following:</w:t>
            </w:r>
          </w:p>
          <w:p w:rsidR="00493430" w:rsidRDefault="00A90ED2" w:rsidP="00CE2AC8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 xml:space="preserve">the </w:t>
            </w:r>
            <w:r>
              <w:t xml:space="preserve">limitation on the prohibition </w:t>
            </w:r>
            <w:r>
              <w:t>against</w:t>
            </w:r>
            <w:r>
              <w:t xml:space="preserve"> the Health and Human Services Commission (HHSC) </w:t>
            </w:r>
            <w:r>
              <w:t>requiring that a service b</w:t>
            </w:r>
            <w:r>
              <w:t>e provided to a patient through telemedicine medical services or telehealth services</w:t>
            </w:r>
            <w:r>
              <w:t>;</w:t>
            </w:r>
          </w:p>
          <w:p w:rsidR="00493430" w:rsidRDefault="00A90ED2" w:rsidP="00CE2AC8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 xml:space="preserve">a provision </w:t>
            </w:r>
            <w:r>
              <w:t xml:space="preserve">establishing </w:t>
            </w:r>
            <w:r>
              <w:t xml:space="preserve">that </w:t>
            </w:r>
            <w:r>
              <w:t>such a</w:t>
            </w:r>
            <w:r>
              <w:t xml:space="preserve"> prohibition does not prohibit the authorization of the provision of any service to a patient through telemedicine medical services or</w:t>
            </w:r>
            <w:r>
              <w:t xml:space="preserve"> telehealth services at the patient's request; and </w:t>
            </w:r>
          </w:p>
          <w:p w:rsidR="00144EDF" w:rsidRDefault="00A90ED2" w:rsidP="00CE2AC8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 xml:space="preserve">the requirement that HHSC encourage STAR Health program providers to use telemedicine medical services as appropriate. </w:t>
            </w:r>
          </w:p>
          <w:p w:rsidR="00144EDF" w:rsidRDefault="00A90ED2" w:rsidP="006D1720">
            <w:pPr>
              <w:pStyle w:val="Header"/>
              <w:jc w:val="both"/>
            </w:pPr>
          </w:p>
          <w:p w:rsidR="00D37B98" w:rsidRDefault="00A90ED2" w:rsidP="006D1720">
            <w:pPr>
              <w:pStyle w:val="Header"/>
              <w:jc w:val="both"/>
            </w:pPr>
            <w:r>
              <w:t>C.S.S.B. 670</w:t>
            </w:r>
            <w:r>
              <w:t xml:space="preserve"> requires HHSC to </w:t>
            </w:r>
            <w:r w:rsidRPr="00723319">
              <w:t xml:space="preserve">ensure </w:t>
            </w:r>
            <w:r>
              <w:t xml:space="preserve">that </w:t>
            </w:r>
            <w:r w:rsidRPr="00723319">
              <w:t>a</w:t>
            </w:r>
            <w:r>
              <w:t xml:space="preserve"> Medicaid</w:t>
            </w:r>
            <w:r w:rsidRPr="00723319">
              <w:t xml:space="preserve"> managed care orga</w:t>
            </w:r>
            <w:r>
              <w:t xml:space="preserve">nization </w:t>
            </w:r>
            <w:r>
              <w:t>(MCO</w:t>
            </w:r>
            <w:r>
              <w:t>)</w:t>
            </w:r>
            <w:r>
              <w:t>:</w:t>
            </w:r>
            <w:r>
              <w:t xml:space="preserve"> </w:t>
            </w:r>
          </w:p>
          <w:p w:rsidR="00D37B98" w:rsidRDefault="00A90ED2" w:rsidP="00CE2AC8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 w:rsidRPr="00723319">
              <w:t xml:space="preserve">does not deny reimbursement for a covered health care service or procedure delivered by a health care provider with whom the </w:t>
            </w:r>
            <w:r>
              <w:t>MCO</w:t>
            </w:r>
            <w:r w:rsidRPr="00723319">
              <w:t xml:space="preserve"> contracts to a </w:t>
            </w:r>
            <w:r>
              <w:t xml:space="preserve">Medicaid </w:t>
            </w:r>
            <w:r w:rsidRPr="00723319">
              <w:t xml:space="preserve">recipient as a telemedicine medical service or a telehealth service solely because the covered </w:t>
            </w:r>
            <w:r w:rsidRPr="00723319">
              <w:t>service or procedure is not provided through an in-person consultation</w:t>
            </w:r>
            <w:r>
              <w:t>;</w:t>
            </w:r>
            <w:r>
              <w:t xml:space="preserve"> </w:t>
            </w:r>
          </w:p>
          <w:p w:rsidR="00F02218" w:rsidRDefault="00A90ED2" w:rsidP="00CE2AC8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>
              <w:t>does not limit, deny</w:t>
            </w:r>
            <w:r w:rsidRPr="00D37B98">
              <w:t xml:space="preserve">, or reduce reimbursement for a covered health care service or procedure delivered by a health care provider with whom the </w:t>
            </w:r>
            <w:r>
              <w:t>MCO</w:t>
            </w:r>
            <w:r w:rsidRPr="00D37B98">
              <w:t xml:space="preserve"> contracts to a Medicaid recipient as</w:t>
            </w:r>
            <w:r w:rsidRPr="00D37B98">
              <w:t xml:space="preserve"> a telemedicine medical service or a telehealth service based on the health care provider's choice of platform for providing the health care service or procedure; and</w:t>
            </w:r>
          </w:p>
          <w:p w:rsidR="00D37B98" w:rsidRDefault="00A90ED2" w:rsidP="00CE2AC8">
            <w:pPr>
              <w:pStyle w:val="Header"/>
              <w:numPr>
                <w:ilvl w:val="0"/>
                <w:numId w:val="12"/>
              </w:numPr>
              <w:spacing w:before="120" w:after="120"/>
              <w:jc w:val="both"/>
            </w:pPr>
            <w:r w:rsidRPr="00D37B98">
              <w:t xml:space="preserve">ensures that the use of </w:t>
            </w:r>
            <w:r w:rsidRPr="00A85BB2">
              <w:t>telemedicine medical service</w:t>
            </w:r>
            <w:r>
              <w:t>s</w:t>
            </w:r>
            <w:r w:rsidRPr="00A85BB2">
              <w:t xml:space="preserve"> or telehealth </w:t>
            </w:r>
            <w:r w:rsidRPr="00D37B98">
              <w:t xml:space="preserve">services promotes and supports patient-centered medical homes by allowing a Medicaid recipient to receive </w:t>
            </w:r>
            <w:r>
              <w:t>such a service</w:t>
            </w:r>
            <w:r w:rsidRPr="00D37B98">
              <w:t xml:space="preserve"> from a provider other than the recipient's primary care physician or provider</w:t>
            </w:r>
            <w:r>
              <w:t xml:space="preserve"> only</w:t>
            </w:r>
            <w:r>
              <w:t xml:space="preserve"> under certain conditions</w:t>
            </w:r>
            <w:r>
              <w:t xml:space="preserve"> as specified by the bill</w:t>
            </w:r>
            <w:r>
              <w:t>.</w:t>
            </w:r>
            <w:r>
              <w:t xml:space="preserve"> </w:t>
            </w:r>
          </w:p>
          <w:p w:rsidR="00282696" w:rsidRDefault="00A90ED2" w:rsidP="006D1720">
            <w:pPr>
              <w:pStyle w:val="Header"/>
              <w:jc w:val="both"/>
            </w:pPr>
          </w:p>
          <w:p w:rsidR="00807626" w:rsidRDefault="00A90ED2" w:rsidP="006D1720">
            <w:pPr>
              <w:pStyle w:val="Header"/>
              <w:jc w:val="both"/>
            </w:pPr>
            <w:r>
              <w:t>C.S.S.B. 670</w:t>
            </w:r>
            <w:r>
              <w:t xml:space="preserve"> </w:t>
            </w:r>
            <w:r>
              <w:t>requires HHSC to develop, document, and implement a monitoring process</w:t>
            </w:r>
            <w:r>
              <w:t xml:space="preserve"> </w:t>
            </w:r>
            <w:r>
              <w:t xml:space="preserve">to ensure that a Medicaid MCO ensures that the use of </w:t>
            </w:r>
            <w:r w:rsidRPr="00A85BB2">
              <w:t>telemedicine medical service</w:t>
            </w:r>
            <w:r>
              <w:t>s</w:t>
            </w:r>
            <w:r w:rsidRPr="00A85BB2">
              <w:t xml:space="preserve"> or telehealth </w:t>
            </w:r>
            <w:r w:rsidRPr="00D37B98">
              <w:t>services</w:t>
            </w:r>
            <w:r>
              <w:t xml:space="preserve"> promotes and supports patient-centered medical homes and care co</w:t>
            </w:r>
            <w:r>
              <w:t xml:space="preserve">ordination in accordance with the bill's provisions and requires this process to include monitoring of the rate at which a telemedicine </w:t>
            </w:r>
            <w:r>
              <w:t xml:space="preserve">medical </w:t>
            </w:r>
            <w:r>
              <w:t>service or telehealth service provider gives the required notice to the appropriate party following the provisio</w:t>
            </w:r>
            <w:r>
              <w:t>n of services</w:t>
            </w:r>
            <w:r>
              <w:t xml:space="preserve"> in accordance with the bill's specified conditions</w:t>
            </w:r>
            <w:r>
              <w:t xml:space="preserve">. </w:t>
            </w:r>
          </w:p>
          <w:p w:rsidR="00807626" w:rsidRDefault="00A90ED2" w:rsidP="006D1720">
            <w:pPr>
              <w:pStyle w:val="Header"/>
              <w:jc w:val="both"/>
            </w:pPr>
          </w:p>
          <w:p w:rsidR="00BD3608" w:rsidRDefault="00A90ED2" w:rsidP="006D1720">
            <w:pPr>
              <w:pStyle w:val="Header"/>
              <w:jc w:val="both"/>
            </w:pPr>
            <w:r>
              <w:t>C.S.S.B. 670</w:t>
            </w:r>
            <w:r>
              <w:t xml:space="preserve"> </w:t>
            </w:r>
            <w:r>
              <w:t>requires the executive commissioner of HHSC by rule to ensure that a federally qualified health center may be reimbursed for the originating site facility fee or the distant s</w:t>
            </w:r>
            <w:r>
              <w:t xml:space="preserve">ite practitioner fee or both, as appropriate, for a covered </w:t>
            </w:r>
            <w:r w:rsidRPr="00CB2516">
              <w:t xml:space="preserve">telemedicine medical service or telehealth </w:t>
            </w:r>
            <w:r>
              <w:t>service delivered by a provider to a</w:t>
            </w:r>
            <w:r>
              <w:t xml:space="preserve"> Medicaid recipient. HHSC is required to implement this </w:t>
            </w:r>
            <w:r>
              <w:t>bill provision</w:t>
            </w:r>
            <w:r>
              <w:t xml:space="preserve"> only if the legislature appropriates money spe</w:t>
            </w:r>
            <w:r>
              <w:t>cifically for that purpose</w:t>
            </w:r>
            <w:r>
              <w:t>. The bill establishes that</w:t>
            </w:r>
            <w:r>
              <w:t xml:space="preserve"> if the legislature does not </w:t>
            </w:r>
            <w:r>
              <w:t xml:space="preserve">appropriate money specifically for that purpose, HHSC may, but is not required to, </w:t>
            </w:r>
            <w:r>
              <w:t xml:space="preserve">implement this requirement using other money available to HHSC for that purpose. </w:t>
            </w:r>
          </w:p>
          <w:p w:rsidR="00BD3608" w:rsidRDefault="00A90ED2" w:rsidP="006D1720">
            <w:pPr>
              <w:pStyle w:val="Header"/>
              <w:jc w:val="both"/>
            </w:pPr>
          </w:p>
          <w:p w:rsidR="0022239E" w:rsidRDefault="00A90ED2" w:rsidP="006D1720">
            <w:pPr>
              <w:pStyle w:val="Header"/>
              <w:jc w:val="both"/>
            </w:pPr>
            <w:r>
              <w:t>C.S.S.B.</w:t>
            </w:r>
            <w:r>
              <w:t xml:space="preserve"> 670</w:t>
            </w:r>
            <w:r>
              <w:t xml:space="preserve"> requires a Medicaid MCO determining whether reimbursement for a </w:t>
            </w:r>
            <w:r w:rsidRPr="009747F0">
              <w:t xml:space="preserve">telemedicine medical service or telehealth </w:t>
            </w:r>
            <w:r>
              <w:t xml:space="preserve">service is appropriate, in complying with state and federal requirements to provide access to medically necessary services under the Medicaid </w:t>
            </w:r>
            <w:r>
              <w:t>managed care program, to continue to consider other factors, including whether reimbursement is cost</w:t>
            </w:r>
            <w:r>
              <w:noBreakHyphen/>
            </w:r>
            <w:r>
              <w:t xml:space="preserve">effective and whether the provision of the service is clinically effective. </w:t>
            </w:r>
          </w:p>
          <w:p w:rsidR="0022239E" w:rsidRDefault="00A90ED2" w:rsidP="006D1720">
            <w:pPr>
              <w:pStyle w:val="Header"/>
              <w:jc w:val="both"/>
            </w:pPr>
          </w:p>
          <w:p w:rsidR="00F32672" w:rsidRDefault="00A90ED2" w:rsidP="006D1720">
            <w:pPr>
              <w:pStyle w:val="Header"/>
              <w:jc w:val="both"/>
            </w:pPr>
            <w:r w:rsidRPr="00751214">
              <w:t xml:space="preserve">C.S.S.B. 670 </w:t>
            </w:r>
            <w:r>
              <w:t xml:space="preserve">removes </w:t>
            </w:r>
            <w:r>
              <w:t>from</w:t>
            </w:r>
            <w:r>
              <w:t xml:space="preserve"> the</w:t>
            </w:r>
            <w:r>
              <w:t xml:space="preserve"> </w:t>
            </w:r>
            <w:r>
              <w:t>condition</w:t>
            </w:r>
            <w:r>
              <w:t>s under which HHSC is required to ensu</w:t>
            </w:r>
            <w:r>
              <w:t xml:space="preserve">re that </w:t>
            </w:r>
            <w:r w:rsidRPr="002D494C">
              <w:t>Medica</w:t>
            </w:r>
            <w:r>
              <w:t xml:space="preserve">id reimbursement is provided to </w:t>
            </w:r>
            <w:r w:rsidRPr="002D494C">
              <w:t>a physician for a telemedicine medical service provided by the physician, even if the physician is not the patient's primary</w:t>
            </w:r>
            <w:r>
              <w:t xml:space="preserve"> care physician or provider</w:t>
            </w:r>
            <w:r>
              <w:t>,</w:t>
            </w:r>
            <w:r>
              <w:t xml:space="preserve"> </w:t>
            </w:r>
            <w:r>
              <w:t xml:space="preserve">the specification </w:t>
            </w:r>
            <w:r>
              <w:t xml:space="preserve">that </w:t>
            </w:r>
            <w:r w:rsidRPr="002D494C">
              <w:t xml:space="preserve">a health professional </w:t>
            </w:r>
            <w:r>
              <w:t>is</w:t>
            </w:r>
            <w:r w:rsidRPr="002D494C">
              <w:t xml:space="preserve"> </w:t>
            </w:r>
            <w:r w:rsidRPr="002D494C">
              <w:t>pres</w:t>
            </w:r>
            <w:r>
              <w:t>ent w</w:t>
            </w:r>
            <w:r>
              <w:t xml:space="preserve">ith the patient during </w:t>
            </w:r>
            <w:r>
              <w:t xml:space="preserve">the </w:t>
            </w:r>
            <w:r>
              <w:t>treatment.</w:t>
            </w:r>
            <w:r>
              <w:t xml:space="preserve"> </w:t>
            </w:r>
            <w:r>
              <w:t>The bill</w:t>
            </w:r>
            <w:r>
              <w:t xml:space="preserve"> revises the</w:t>
            </w:r>
            <w:r>
              <w:t xml:space="preserve"> requirement that HHSC require reimbursement for a telemedicine medical service at the same rate as Medicaid reimburses for a comparable in-person medical service</w:t>
            </w:r>
            <w:r>
              <w:t xml:space="preserve"> by specifying that the r</w:t>
            </w:r>
            <w:r>
              <w:t>eimbursemen</w:t>
            </w:r>
            <w:r>
              <w:t xml:space="preserve">t </w:t>
            </w:r>
            <w:r>
              <w:t xml:space="preserve">instead </w:t>
            </w:r>
            <w:r>
              <w:t xml:space="preserve">be </w:t>
            </w:r>
            <w:r>
              <w:t xml:space="preserve">at the same rate for the same in-person medical service. </w:t>
            </w:r>
          </w:p>
          <w:p w:rsidR="00F32672" w:rsidRDefault="00A90ED2" w:rsidP="006D1720">
            <w:pPr>
              <w:pStyle w:val="Header"/>
              <w:jc w:val="both"/>
            </w:pPr>
          </w:p>
          <w:p w:rsidR="002D494C" w:rsidRDefault="00A90ED2" w:rsidP="006D1720">
            <w:pPr>
              <w:pStyle w:val="Header"/>
              <w:jc w:val="both"/>
            </w:pPr>
            <w:r w:rsidRPr="00751214">
              <w:t xml:space="preserve">C.S.S.B. 670 </w:t>
            </w:r>
            <w:r>
              <w:t xml:space="preserve">prohibits HHSC from limiting a </w:t>
            </w:r>
            <w:r w:rsidRPr="0022239E">
              <w:t>physician's choice of platform for providing a telemedicine medical service or telehealth service by requiring that the physician use a part</w:t>
            </w:r>
            <w:r w:rsidRPr="0022239E">
              <w:t>icular platform</w:t>
            </w:r>
            <w:r>
              <w:t xml:space="preserve">, </w:t>
            </w:r>
            <w:r>
              <w:t xml:space="preserve">as </w:t>
            </w:r>
            <w:r>
              <w:t>defined by the bill</w:t>
            </w:r>
            <w:r>
              <w:t xml:space="preserve">, </w:t>
            </w:r>
            <w:r w:rsidRPr="0022239E">
              <w:t>to receive reimbursement for the service.</w:t>
            </w:r>
            <w:r>
              <w:t xml:space="preserve"> </w:t>
            </w:r>
          </w:p>
          <w:p w:rsidR="00CA1DE3" w:rsidRDefault="00A90ED2" w:rsidP="006D1720">
            <w:pPr>
              <w:pStyle w:val="Header"/>
              <w:jc w:val="both"/>
            </w:pPr>
          </w:p>
          <w:p w:rsidR="003D2802" w:rsidRDefault="00A90ED2" w:rsidP="006D1720">
            <w:pPr>
              <w:pStyle w:val="Header"/>
              <w:jc w:val="both"/>
            </w:pPr>
            <w:r w:rsidRPr="00751214">
              <w:t xml:space="preserve">C.S.S.B. 670 </w:t>
            </w:r>
            <w:r>
              <w:t xml:space="preserve">repeals </w:t>
            </w:r>
            <w:r>
              <w:t xml:space="preserve">statutory </w:t>
            </w:r>
            <w:r>
              <w:t>provisions relating to</w:t>
            </w:r>
            <w:r>
              <w:t xml:space="preserve"> the following:</w:t>
            </w:r>
            <w:r>
              <w:t xml:space="preserve"> </w:t>
            </w:r>
          </w:p>
          <w:p w:rsidR="003D2802" w:rsidRDefault="00A90ED2" w:rsidP="00CE2AC8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>
              <w:t xml:space="preserve">a prohibition on </w:t>
            </w:r>
            <w:r>
              <w:t xml:space="preserve">Medicaid </w:t>
            </w:r>
            <w:r>
              <w:t>reimbursement to a health</w:t>
            </w:r>
            <w:r>
              <w:t xml:space="preserve"> care</w:t>
            </w:r>
            <w:r>
              <w:t xml:space="preserve"> facility </w:t>
            </w:r>
            <w:r>
              <w:t xml:space="preserve">that does not comply </w:t>
            </w:r>
            <w:r>
              <w:t xml:space="preserve">with </w:t>
            </w:r>
            <w:r>
              <w:t xml:space="preserve">certain </w:t>
            </w:r>
            <w:r>
              <w:t xml:space="preserve">minimum </w:t>
            </w:r>
            <w:r>
              <w:t xml:space="preserve">standards for </w:t>
            </w:r>
            <w:r w:rsidRPr="002D494C">
              <w:t>telemedicine, telehealth, and home tel</w:t>
            </w:r>
            <w:r>
              <w:t>emonitoring technology</w:t>
            </w:r>
            <w:r>
              <w:t>;</w:t>
            </w:r>
          </w:p>
          <w:p w:rsidR="00282696" w:rsidRDefault="00A90ED2" w:rsidP="00CE2AC8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>
              <w:t xml:space="preserve">reimbursement </w:t>
            </w:r>
            <w:r>
              <w:t xml:space="preserve">under Medicaid for </w:t>
            </w:r>
            <w:r>
              <w:t>certain office visits with respect to a patient unlikely to undergo material deterioration within a certain period following the visit</w:t>
            </w:r>
            <w:r>
              <w:t xml:space="preserve"> and </w:t>
            </w:r>
            <w:r>
              <w:t>certain limitations on reimbursement for such services</w:t>
            </w:r>
            <w:r>
              <w:t>;</w:t>
            </w:r>
          </w:p>
          <w:p w:rsidR="003D2802" w:rsidRDefault="00A90ED2" w:rsidP="00CE2AC8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>
              <w:t xml:space="preserve">the </w:t>
            </w:r>
            <w:r w:rsidRPr="00F92E94">
              <w:t>alignmen</w:t>
            </w:r>
            <w:r>
              <w:t>t of M</w:t>
            </w:r>
            <w:r w:rsidRPr="00F92E94">
              <w:t>edicaid telemedici</w:t>
            </w:r>
            <w:r>
              <w:t>ne reimbursement policies with M</w:t>
            </w:r>
            <w:r w:rsidRPr="00F92E94">
              <w:t>edicare reimbursement policies</w:t>
            </w:r>
            <w:r>
              <w:t>; and</w:t>
            </w:r>
          </w:p>
          <w:p w:rsidR="002D494C" w:rsidRDefault="00A90ED2" w:rsidP="00CE2AC8">
            <w:pPr>
              <w:pStyle w:val="Header"/>
              <w:numPr>
                <w:ilvl w:val="0"/>
                <w:numId w:val="13"/>
              </w:numPr>
              <w:spacing w:before="120" w:after="120"/>
              <w:jc w:val="both"/>
            </w:pPr>
            <w:r>
              <w:t xml:space="preserve">the expiration </w:t>
            </w:r>
            <w:r>
              <w:t>of</w:t>
            </w:r>
            <w:r>
              <w:t xml:space="preserve"> Medicaid reimbursement</w:t>
            </w:r>
            <w:r>
              <w:t xml:space="preserve"> </w:t>
            </w:r>
            <w:r>
              <w:t xml:space="preserve">for </w:t>
            </w:r>
            <w:r>
              <w:t xml:space="preserve">the provision of </w:t>
            </w:r>
            <w:r>
              <w:t>home telemonitoring services</w:t>
            </w:r>
            <w:r>
              <w:t xml:space="preserve"> on or</w:t>
            </w:r>
            <w:r>
              <w:t xml:space="preserve"> after September 1, 2019</w:t>
            </w:r>
            <w:r>
              <w:t>.</w:t>
            </w:r>
          </w:p>
          <w:p w:rsidR="00F02218" w:rsidRDefault="00A90ED2" w:rsidP="006D1720">
            <w:pPr>
              <w:pStyle w:val="Header"/>
              <w:jc w:val="both"/>
            </w:pPr>
          </w:p>
          <w:p w:rsidR="00424C1B" w:rsidRDefault="00A90ED2" w:rsidP="006D1720">
            <w:pPr>
              <w:pStyle w:val="Header"/>
              <w:jc w:val="both"/>
            </w:pPr>
            <w:r w:rsidRPr="00751214">
              <w:t xml:space="preserve">C.S.S.B. 670 </w:t>
            </w:r>
            <w:r>
              <w:t>repeals the following provisions</w:t>
            </w:r>
            <w:r>
              <w:t xml:space="preserve"> of the Government Code</w:t>
            </w:r>
            <w:r>
              <w:t xml:space="preserve">: </w:t>
            </w:r>
          </w:p>
          <w:p w:rsidR="00424C1B" w:rsidRDefault="00A90ED2" w:rsidP="006D172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</w:t>
            </w:r>
            <w:r>
              <w:t>s</w:t>
            </w:r>
            <w:r>
              <w:t xml:space="preserve"> 531.0216</w:t>
            </w:r>
            <w:r>
              <w:t xml:space="preserve">(b) and </w:t>
            </w:r>
            <w:r>
              <w:t>(e)</w:t>
            </w:r>
          </w:p>
          <w:p w:rsidR="00424C1B" w:rsidRDefault="00A90ED2" w:rsidP="006D172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531.02161</w:t>
            </w:r>
          </w:p>
          <w:p w:rsidR="00424C1B" w:rsidRDefault="00A90ED2" w:rsidP="006D172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Sections 531.0217</w:t>
            </w:r>
            <w:r>
              <w:t>(c-1)</w:t>
            </w:r>
            <w:r>
              <w:t>,</w:t>
            </w:r>
            <w:r>
              <w:t xml:space="preserve"> </w:t>
            </w:r>
            <w:r>
              <w:t>(c-2)</w:t>
            </w:r>
            <w:r>
              <w:t>,</w:t>
            </w:r>
            <w:r>
              <w:t xml:space="preserve"> (c-3)</w:t>
            </w:r>
            <w:r>
              <w:t>, and (f)</w:t>
            </w:r>
          </w:p>
          <w:p w:rsidR="00424C1B" w:rsidRDefault="00A90ED2" w:rsidP="006D172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531.02173</w:t>
            </w:r>
          </w:p>
          <w:p w:rsidR="00271F0C" w:rsidRDefault="00A90ED2" w:rsidP="006D1720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531.02176</w:t>
            </w:r>
          </w:p>
          <w:p w:rsidR="008423E4" w:rsidRPr="00835628" w:rsidRDefault="00A90ED2" w:rsidP="006D1720">
            <w:pPr>
              <w:rPr>
                <w:b/>
              </w:rPr>
            </w:pPr>
          </w:p>
        </w:tc>
      </w:tr>
      <w:tr w:rsidR="00AF4DFC" w:rsidTr="00345119">
        <w:tc>
          <w:tcPr>
            <w:tcW w:w="9576" w:type="dxa"/>
          </w:tcPr>
          <w:p w:rsidR="008423E4" w:rsidRPr="00A8133F" w:rsidRDefault="00A90ED2" w:rsidP="006D172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0ED2" w:rsidP="006D1720"/>
          <w:p w:rsidR="005E492B" w:rsidRDefault="00A90ED2" w:rsidP="006D1720">
            <w:r>
              <w:t xml:space="preserve">September 1, 2019. </w:t>
            </w:r>
          </w:p>
          <w:p w:rsidR="008423E4" w:rsidRPr="00233FDB" w:rsidRDefault="00A90ED2" w:rsidP="006D1720">
            <w:pPr>
              <w:rPr>
                <w:b/>
              </w:rPr>
            </w:pPr>
          </w:p>
        </w:tc>
      </w:tr>
      <w:tr w:rsidR="00AF4DFC" w:rsidTr="00CD492D">
        <w:tc>
          <w:tcPr>
            <w:tcW w:w="9576" w:type="dxa"/>
            <w:shd w:val="clear" w:color="auto" w:fill="auto"/>
          </w:tcPr>
          <w:p w:rsidR="00A171B3" w:rsidRDefault="00A90ED2" w:rsidP="006D1720">
            <w:pPr>
              <w:spacing w:before="120" w:after="120"/>
              <w:contextualSpacing/>
              <w:jc w:val="both"/>
              <w:rPr>
                <w:b/>
                <w:u w:val="single"/>
              </w:rPr>
            </w:pPr>
            <w:r w:rsidRPr="0027269E">
              <w:rPr>
                <w:b/>
                <w:u w:val="single"/>
              </w:rPr>
              <w:t>COMPARISON OF SENATE ENGROSSED AND SUBSTITUTE</w:t>
            </w:r>
          </w:p>
          <w:p w:rsidR="006D1720" w:rsidRPr="00A171B3" w:rsidRDefault="00A90ED2" w:rsidP="006D1720">
            <w:pPr>
              <w:spacing w:before="120" w:after="120"/>
              <w:contextualSpacing/>
              <w:jc w:val="both"/>
              <w:rPr>
                <w:b/>
                <w:u w:val="single"/>
              </w:rPr>
            </w:pPr>
          </w:p>
          <w:p w:rsidR="00A171B3" w:rsidRPr="00A171B3" w:rsidRDefault="00A90ED2" w:rsidP="006D1720">
            <w:pPr>
              <w:spacing w:before="120" w:after="120"/>
              <w:contextualSpacing/>
              <w:jc w:val="both"/>
            </w:pPr>
            <w:r>
              <w:t>While C.S.S.B. 670 may differ from the engrossed in minor or nonsubstantive ways, the following summarizes the substantial differences between the engrossed and committee substitute versi</w:t>
            </w:r>
            <w:r>
              <w:t>ons of the bill.</w:t>
            </w:r>
          </w:p>
          <w:p w:rsidR="00A171B3" w:rsidRPr="00A171B3" w:rsidRDefault="00A90ED2" w:rsidP="006D1720">
            <w:pPr>
              <w:spacing w:before="120" w:after="120"/>
              <w:contextualSpacing/>
              <w:jc w:val="both"/>
            </w:pPr>
          </w:p>
          <w:p w:rsidR="00A171B3" w:rsidRPr="00A171B3" w:rsidRDefault="00A90ED2" w:rsidP="006D1720">
            <w:pPr>
              <w:spacing w:before="120" w:after="120"/>
              <w:contextualSpacing/>
              <w:jc w:val="both"/>
            </w:pPr>
            <w:r w:rsidRPr="00A171B3">
              <w:t>The substitute includes a provision that removes a limitation on the prohibition against HHSC requiring that a service be provided to a patient through telemedicine medical services or telehealth services and that removes a requirement th</w:t>
            </w:r>
            <w:r w:rsidRPr="00A171B3">
              <w:t xml:space="preserve">at HHSC encourage STAR Health program providers to use those services as appropriate. </w:t>
            </w:r>
          </w:p>
          <w:p w:rsidR="00A171B3" w:rsidRPr="00A171B3" w:rsidRDefault="00A90ED2" w:rsidP="006D1720">
            <w:pPr>
              <w:spacing w:before="120" w:after="120"/>
              <w:contextualSpacing/>
              <w:jc w:val="both"/>
            </w:pPr>
          </w:p>
          <w:p w:rsidR="00A171B3" w:rsidRPr="00A171B3" w:rsidRDefault="00A90ED2" w:rsidP="006D1720">
            <w:pPr>
              <w:spacing w:before="120" w:after="120"/>
              <w:jc w:val="both"/>
            </w:pPr>
            <w:r w:rsidRPr="00A171B3">
              <w:t>The substitute includes provisions:</w:t>
            </w:r>
          </w:p>
          <w:p w:rsidR="00A171B3" w:rsidRPr="00A171B3" w:rsidRDefault="00A90ED2" w:rsidP="006D1720">
            <w:pPr>
              <w:numPr>
                <w:ilvl w:val="0"/>
                <w:numId w:val="5"/>
              </w:numPr>
              <w:spacing w:before="120" w:after="120"/>
              <w:jc w:val="both"/>
            </w:pPr>
            <w:r>
              <w:t>expanding the actions</w:t>
            </w:r>
            <w:r w:rsidRPr="00A171B3">
              <w:t xml:space="preserve"> HHSC </w:t>
            </w:r>
            <w:r>
              <w:t>must</w:t>
            </w:r>
            <w:r w:rsidRPr="00A171B3">
              <w:t xml:space="preserve"> </w:t>
            </w:r>
            <w:r>
              <w:t xml:space="preserve">take to </w:t>
            </w:r>
            <w:r w:rsidRPr="00A171B3">
              <w:t>ensure a Medicaid MCO takes regarding telemedicine medical services or telehealth services;</w:t>
            </w:r>
          </w:p>
          <w:p w:rsidR="00A171B3" w:rsidRPr="00A171B3" w:rsidRDefault="00A90ED2" w:rsidP="006D1720">
            <w:pPr>
              <w:numPr>
                <w:ilvl w:val="0"/>
                <w:numId w:val="5"/>
              </w:numPr>
              <w:spacing w:before="120" w:after="120"/>
              <w:jc w:val="both"/>
            </w:pPr>
            <w:r w:rsidRPr="00A171B3">
              <w:t>requiring HHSC to develop, document, and implement a certain monitoring process regarding a Medicaid MCO;</w:t>
            </w:r>
          </w:p>
          <w:p w:rsidR="00A171B3" w:rsidRPr="00A171B3" w:rsidRDefault="00A90ED2" w:rsidP="006D1720">
            <w:pPr>
              <w:numPr>
                <w:ilvl w:val="0"/>
                <w:numId w:val="5"/>
              </w:numPr>
              <w:spacing w:before="120" w:after="120"/>
              <w:jc w:val="both"/>
            </w:pPr>
            <w:r w:rsidRPr="00A171B3">
              <w:t>requiring the executive commissioner by rule to ensure that a federally qualified health center may be reimbursed for certain fees for a covered telem</w:t>
            </w:r>
            <w:r w:rsidRPr="00A171B3">
              <w:t>edicine medical service or telehealth service delivered by a health care provider to a Medicaid recipient, subject to legislative appropriation;</w:t>
            </w:r>
          </w:p>
          <w:p w:rsidR="00A171B3" w:rsidRPr="00A171B3" w:rsidRDefault="00A90ED2" w:rsidP="006D1720">
            <w:pPr>
              <w:numPr>
                <w:ilvl w:val="0"/>
                <w:numId w:val="5"/>
              </w:numPr>
              <w:spacing w:before="120" w:after="120"/>
              <w:jc w:val="both"/>
            </w:pPr>
            <w:r w:rsidRPr="00A171B3">
              <w:t>prohibiting HHSC from limiting a physician's choice of platform by requiring use of a particular platform to re</w:t>
            </w:r>
            <w:r w:rsidRPr="00A171B3">
              <w:t>ceive reimbursement; and</w:t>
            </w:r>
          </w:p>
          <w:p w:rsidR="00FF028D" w:rsidRDefault="00A90ED2" w:rsidP="006D1720">
            <w:pPr>
              <w:numPr>
                <w:ilvl w:val="0"/>
                <w:numId w:val="5"/>
              </w:numPr>
              <w:spacing w:before="120" w:after="120"/>
              <w:jc w:val="both"/>
            </w:pPr>
            <w:r w:rsidRPr="00A171B3">
              <w:t>repealing</w:t>
            </w:r>
            <w:r>
              <w:t xml:space="preserve"> provisions relating to</w:t>
            </w:r>
            <w:r>
              <w:t>:</w:t>
            </w:r>
          </w:p>
          <w:p w:rsidR="00FF028D" w:rsidRDefault="00A90ED2" w:rsidP="006D1720">
            <w:pPr>
              <w:numPr>
                <w:ilvl w:val="1"/>
                <w:numId w:val="5"/>
              </w:numPr>
              <w:spacing w:before="120" w:after="120"/>
              <w:jc w:val="both"/>
            </w:pPr>
            <w:r w:rsidRPr="00A171B3">
              <w:t>reimbursement for certain office visits with respect to a patient unlikely to undergo material deterioration within a certain per</w:t>
            </w:r>
            <w:r>
              <w:t>iod following the visit</w:t>
            </w:r>
            <w:r>
              <w:t>;</w:t>
            </w:r>
            <w:r w:rsidRPr="00A171B3">
              <w:t xml:space="preserve"> and</w:t>
            </w:r>
            <w:r>
              <w:t xml:space="preserve"> </w:t>
            </w:r>
          </w:p>
          <w:p w:rsidR="00A171B3" w:rsidRDefault="00A90ED2" w:rsidP="006D1720">
            <w:pPr>
              <w:numPr>
                <w:ilvl w:val="1"/>
                <w:numId w:val="5"/>
              </w:numPr>
              <w:spacing w:before="120" w:after="120"/>
              <w:jc w:val="both"/>
            </w:pPr>
            <w:r>
              <w:t>e</w:t>
            </w:r>
            <w:r w:rsidRPr="00A171B3">
              <w:t>xpiration of Medicaid reimbursement f</w:t>
            </w:r>
            <w:r w:rsidRPr="00A171B3">
              <w:t>or provision of home telemonitoring services.</w:t>
            </w:r>
          </w:p>
          <w:p w:rsidR="00615FD1" w:rsidRPr="00A171B3" w:rsidRDefault="00A90ED2" w:rsidP="006D1720">
            <w:pPr>
              <w:spacing w:before="120" w:after="120"/>
              <w:contextualSpacing/>
              <w:jc w:val="both"/>
            </w:pPr>
          </w:p>
        </w:tc>
      </w:tr>
      <w:tr w:rsidR="00AF4DFC" w:rsidTr="00CD492D">
        <w:tc>
          <w:tcPr>
            <w:tcW w:w="9576" w:type="dxa"/>
            <w:shd w:val="clear" w:color="auto" w:fill="auto"/>
          </w:tcPr>
          <w:p w:rsidR="007F77D5" w:rsidRPr="00B00CC6" w:rsidRDefault="00A90ED2" w:rsidP="006D1720">
            <w:pPr>
              <w:jc w:val="both"/>
              <w:rPr>
                <w:b/>
                <w:u w:val="single"/>
              </w:rPr>
            </w:pPr>
          </w:p>
        </w:tc>
      </w:tr>
      <w:tr w:rsidR="00AF4DFC" w:rsidTr="00CD492D">
        <w:tc>
          <w:tcPr>
            <w:tcW w:w="9576" w:type="dxa"/>
            <w:shd w:val="clear" w:color="auto" w:fill="auto"/>
          </w:tcPr>
          <w:p w:rsidR="007F77D5" w:rsidRPr="007F77D5" w:rsidRDefault="00A90ED2" w:rsidP="006D1720">
            <w:pPr>
              <w:jc w:val="both"/>
            </w:pPr>
          </w:p>
        </w:tc>
      </w:tr>
      <w:tr w:rsidR="00AF4DFC" w:rsidTr="00CD492D">
        <w:tc>
          <w:tcPr>
            <w:tcW w:w="9576" w:type="dxa"/>
            <w:shd w:val="clear" w:color="auto" w:fill="auto"/>
          </w:tcPr>
          <w:p w:rsidR="007F77D5" w:rsidRPr="00B00CC6" w:rsidRDefault="00A90ED2" w:rsidP="006D1720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A90ED2" w:rsidP="004F0AE6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0ED2" w:rsidP="004F0AE6">
      <w:pPr>
        <w:spacing w:line="480" w:lineRule="auto"/>
      </w:pPr>
    </w:p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0ED2">
      <w:r>
        <w:separator/>
      </w:r>
    </w:p>
  </w:endnote>
  <w:endnote w:type="continuationSeparator" w:id="0">
    <w:p w:rsidR="00000000" w:rsidRDefault="00A9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0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F4DFC" w:rsidTr="009C1E9A">
      <w:trPr>
        <w:cantSplit/>
      </w:trPr>
      <w:tc>
        <w:tcPr>
          <w:tcW w:w="0" w:type="pct"/>
        </w:tcPr>
        <w:p w:rsidR="00137D90" w:rsidRDefault="00A90E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0E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0E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0E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0E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4DFC" w:rsidTr="009C1E9A">
      <w:trPr>
        <w:cantSplit/>
      </w:trPr>
      <w:tc>
        <w:tcPr>
          <w:tcW w:w="0" w:type="pct"/>
        </w:tcPr>
        <w:p w:rsidR="00EC379B" w:rsidRDefault="00A90E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0ED2" w:rsidP="004B44D3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30666</w:t>
          </w:r>
        </w:p>
      </w:tc>
      <w:tc>
        <w:tcPr>
          <w:tcW w:w="2453" w:type="pct"/>
        </w:tcPr>
        <w:p w:rsidR="00EC379B" w:rsidRDefault="00A90E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19.120.852</w:t>
          </w:r>
          <w:r>
            <w:fldChar w:fldCharType="end"/>
          </w:r>
        </w:p>
      </w:tc>
    </w:tr>
    <w:tr w:rsidR="00AF4DFC" w:rsidTr="009C1E9A">
      <w:trPr>
        <w:cantSplit/>
      </w:trPr>
      <w:tc>
        <w:tcPr>
          <w:tcW w:w="0" w:type="pct"/>
        </w:tcPr>
        <w:p w:rsidR="00EC379B" w:rsidRDefault="00A90E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0E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23578</w:t>
          </w:r>
        </w:p>
      </w:tc>
      <w:tc>
        <w:tcPr>
          <w:tcW w:w="2453" w:type="pct"/>
        </w:tcPr>
        <w:p w:rsidR="00EC379B" w:rsidRDefault="00A90ED2" w:rsidP="006D504F">
          <w:pPr>
            <w:pStyle w:val="Footer"/>
            <w:rPr>
              <w:rStyle w:val="PageNumber"/>
            </w:rPr>
          </w:pPr>
        </w:p>
        <w:p w:rsidR="00EC379B" w:rsidRDefault="00A90E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F4DF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0ED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A90ED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0ED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0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0ED2">
      <w:r>
        <w:separator/>
      </w:r>
    </w:p>
  </w:footnote>
  <w:footnote w:type="continuationSeparator" w:id="0">
    <w:p w:rsidR="00000000" w:rsidRDefault="00A9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0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0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0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89E"/>
    <w:multiLevelType w:val="hybridMultilevel"/>
    <w:tmpl w:val="1BDE61DE"/>
    <w:lvl w:ilvl="0" w:tplc="C8086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8E6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06A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1A8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CD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C2F0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A7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6F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BA39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07D2"/>
    <w:multiLevelType w:val="hybridMultilevel"/>
    <w:tmpl w:val="9992F6E6"/>
    <w:lvl w:ilvl="0" w:tplc="C1C4F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68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305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47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E8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44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4DC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8A0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6F3C"/>
    <w:multiLevelType w:val="hybridMultilevel"/>
    <w:tmpl w:val="400804B8"/>
    <w:lvl w:ilvl="0" w:tplc="4D4CC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B8F1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584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4A3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EB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4B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6D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963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369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6FC1"/>
    <w:multiLevelType w:val="hybridMultilevel"/>
    <w:tmpl w:val="17D0EB12"/>
    <w:lvl w:ilvl="0" w:tplc="2A64B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0B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8088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AF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6A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C5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E55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6C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DA26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62544"/>
    <w:multiLevelType w:val="hybridMultilevel"/>
    <w:tmpl w:val="B90CB370"/>
    <w:lvl w:ilvl="0" w:tplc="09C04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A6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2BF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6F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27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22A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E2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C62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680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64E63"/>
    <w:multiLevelType w:val="hybridMultilevel"/>
    <w:tmpl w:val="D4A2ED76"/>
    <w:lvl w:ilvl="0" w:tplc="91A01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4B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89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8E0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E9E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CA3D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06C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00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FAF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C50E7"/>
    <w:multiLevelType w:val="hybridMultilevel"/>
    <w:tmpl w:val="B1C43BC2"/>
    <w:lvl w:ilvl="0" w:tplc="F08A6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A98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0A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41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A3A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1A7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4A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6C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44F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D5971"/>
    <w:multiLevelType w:val="hybridMultilevel"/>
    <w:tmpl w:val="18FAA7C6"/>
    <w:lvl w:ilvl="0" w:tplc="5752630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482AF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D4A6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8677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4400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9CB9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E251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DA00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2A237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99363A"/>
    <w:multiLevelType w:val="hybridMultilevel"/>
    <w:tmpl w:val="1318BCD0"/>
    <w:lvl w:ilvl="0" w:tplc="292E3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25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A6DA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E4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D0D4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F6AA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AB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495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822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0230F"/>
    <w:multiLevelType w:val="hybridMultilevel"/>
    <w:tmpl w:val="3EC45BD2"/>
    <w:lvl w:ilvl="0" w:tplc="DE527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B8E5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729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EF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AA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2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0CC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40B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44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843E9"/>
    <w:multiLevelType w:val="hybridMultilevel"/>
    <w:tmpl w:val="187A5222"/>
    <w:lvl w:ilvl="0" w:tplc="26E6B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16F7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FA7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24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27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2F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45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C6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404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FC"/>
    <w:rsid w:val="00A90ED2"/>
    <w:rsid w:val="00A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BC45-C6B4-4988-9ED0-BFE6D3F8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E49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4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49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4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492B"/>
    <w:rPr>
      <w:b/>
      <w:bCs/>
    </w:rPr>
  </w:style>
  <w:style w:type="paragraph" w:styleId="ListParagraph">
    <w:name w:val="List Paragraph"/>
    <w:basedOn w:val="Normal"/>
    <w:uiPriority w:val="34"/>
    <w:qFormat/>
    <w:rsid w:val="000E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6734</Characters>
  <Application>Microsoft Office Word</Application>
  <DocSecurity>4</DocSecurity>
  <Lines>147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SB00670 (Committee Report (Substituted))</vt:lpstr>
    </vt:vector>
  </TitlesOfParts>
  <Company>State of Texas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30666</dc:subject>
  <dc:creator>State of Texas</dc:creator>
  <dc:description>SB 670 by Buckingham-(H)Public Health (Substitute Document Number: 86R 23578)</dc:description>
  <cp:lastModifiedBy>Damian Duarte</cp:lastModifiedBy>
  <cp:revision>2</cp:revision>
  <cp:lastPrinted>2003-11-26T17:21:00Z</cp:lastPrinted>
  <dcterms:created xsi:type="dcterms:W3CDTF">2019-05-02T14:54:00Z</dcterms:created>
  <dcterms:modified xsi:type="dcterms:W3CDTF">2019-05-02T14:54:00Z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19.120.852</vt:lpwstr>
  </property>
</Properties>
</file>