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F5" w:rsidRDefault="005D5EF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94D53BCBA4248CEB1FF797EDCA7D6D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D5EF5" w:rsidRPr="00585C31" w:rsidRDefault="005D5EF5" w:rsidP="000F1DF9">
      <w:pPr>
        <w:spacing w:after="0" w:line="240" w:lineRule="auto"/>
        <w:rPr>
          <w:rFonts w:cs="Times New Roman"/>
          <w:szCs w:val="24"/>
        </w:rPr>
      </w:pPr>
    </w:p>
    <w:p w:rsidR="005D5EF5" w:rsidRPr="00585C31" w:rsidRDefault="005D5EF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D5EF5" w:rsidTr="000F1DF9">
        <w:tc>
          <w:tcPr>
            <w:tcW w:w="2718" w:type="dxa"/>
          </w:tcPr>
          <w:p w:rsidR="005D5EF5" w:rsidRPr="005C2A78" w:rsidRDefault="005D5EF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34CD73474B84F15A3CFB7660667650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D5EF5" w:rsidRPr="00FF6471" w:rsidRDefault="005D5EF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1C1C9DAB5ED4CAF874E00E9C94349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683</w:t>
                </w:r>
              </w:sdtContent>
            </w:sdt>
          </w:p>
        </w:tc>
      </w:tr>
      <w:tr w:rsidR="005D5EF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FDD29384BEB4D09A120144E90475209"/>
            </w:placeholder>
            <w:showingPlcHdr/>
          </w:sdtPr>
          <w:sdtContent>
            <w:tc>
              <w:tcPr>
                <w:tcW w:w="2718" w:type="dxa"/>
              </w:tcPr>
              <w:p w:rsidR="005D5EF5" w:rsidRPr="000F1DF9" w:rsidRDefault="005D5EF5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D5EF5" w:rsidRPr="005C2A78" w:rsidRDefault="005D5EF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8EE65915B364496817CFB34015ABF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260D1B25D134F82AD8F3A559C11DA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Buckingham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F3089D833724B26B0E7BB413C749E88"/>
                </w:placeholder>
                <w:showingPlcHdr/>
              </w:sdtPr>
              <w:sdtContent/>
            </w:sdt>
          </w:p>
        </w:tc>
      </w:tr>
      <w:tr w:rsidR="005D5EF5" w:rsidTr="000F1DF9">
        <w:tc>
          <w:tcPr>
            <w:tcW w:w="2718" w:type="dxa"/>
          </w:tcPr>
          <w:p w:rsidR="005D5EF5" w:rsidRPr="00BC7495" w:rsidRDefault="005D5E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B9E6A5041C340F980577671975E4772"/>
            </w:placeholder>
          </w:sdtPr>
          <w:sdtContent>
            <w:tc>
              <w:tcPr>
                <w:tcW w:w="6858" w:type="dxa"/>
              </w:tcPr>
              <w:p w:rsidR="005D5EF5" w:rsidRPr="00FF6471" w:rsidRDefault="005D5E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5D5EF5" w:rsidTr="000F1DF9">
        <w:tc>
          <w:tcPr>
            <w:tcW w:w="2718" w:type="dxa"/>
          </w:tcPr>
          <w:p w:rsidR="005D5EF5" w:rsidRPr="00BC7495" w:rsidRDefault="005D5E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4A2C307062044179B60BEA5B5C79101"/>
            </w:placeholder>
            <w:date w:fullDate="2019-05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D5EF5" w:rsidRPr="00FF6471" w:rsidRDefault="005D5E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5/30/2019</w:t>
                </w:r>
              </w:p>
            </w:tc>
          </w:sdtContent>
        </w:sdt>
      </w:tr>
      <w:tr w:rsidR="005D5EF5" w:rsidTr="000F1DF9">
        <w:tc>
          <w:tcPr>
            <w:tcW w:w="2718" w:type="dxa"/>
          </w:tcPr>
          <w:p w:rsidR="005D5EF5" w:rsidRPr="00BC7495" w:rsidRDefault="005D5E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8EC316BB5A44E7F9A848DAC5258FD81"/>
            </w:placeholder>
          </w:sdtPr>
          <w:sdtContent>
            <w:tc>
              <w:tcPr>
                <w:tcW w:w="6858" w:type="dxa"/>
              </w:tcPr>
              <w:p w:rsidR="005D5EF5" w:rsidRPr="00FF6471" w:rsidRDefault="005D5E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5D5EF5" w:rsidRPr="00FF6471" w:rsidRDefault="005D5EF5" w:rsidP="000F1DF9">
      <w:pPr>
        <w:spacing w:after="0" w:line="240" w:lineRule="auto"/>
        <w:rPr>
          <w:rFonts w:cs="Times New Roman"/>
          <w:szCs w:val="24"/>
        </w:rPr>
      </w:pPr>
    </w:p>
    <w:p w:rsidR="005D5EF5" w:rsidRPr="00FF6471" w:rsidRDefault="005D5EF5" w:rsidP="000F1DF9">
      <w:pPr>
        <w:spacing w:after="0" w:line="240" w:lineRule="auto"/>
        <w:rPr>
          <w:rFonts w:cs="Times New Roman"/>
          <w:szCs w:val="24"/>
        </w:rPr>
      </w:pPr>
    </w:p>
    <w:p w:rsidR="005D5EF5" w:rsidRPr="00FF6471" w:rsidRDefault="005D5EF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12EE0D936F64188A3B076F0A1B99D5F"/>
        </w:placeholder>
      </w:sdtPr>
      <w:sdtContent>
        <w:p w:rsidR="005D5EF5" w:rsidRDefault="005D5EF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BD18057E0CD43B2BA967DAFCF10C179"/>
        </w:placeholder>
      </w:sdtPr>
      <w:sdtContent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  <w:rPr>
              <w:rFonts w:eastAsia="Times New Roman"/>
              <w:bCs/>
            </w:rPr>
          </w:pP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S.B. 683 makes several recommended “clean-up” changes needed to eliminate inconsistencies and language with conflicting provisions in the Pharmacy Practice Act. The changes included in the bill are recommended by the Texas State Board of Pharmacy</w:t>
          </w:r>
          <w:r>
            <w:t xml:space="preserve"> (TSBP)</w:t>
          </w:r>
          <w:r w:rsidRPr="0092567D">
            <w:t>. These changes are nonsubstantive and do not increase a pharmacist’s scope of practice in any way.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Specifically, the proposed legislation includes the follow changes: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1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>requires pharmacies to submit a “zero” report if the pharmacy does not dispense any controlled substance prescriptions;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2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>allows pharmacist interns and pharmacist technician trainees access to the Prescription Monitoring Program (PMP) and replace</w:t>
          </w:r>
          <w:r>
            <w:rPr>
              <w:rFonts w:eastAsia="Times New Roman"/>
            </w:rPr>
            <w:t>s</w:t>
          </w:r>
          <w:r w:rsidRPr="0092567D">
            <w:rPr>
              <w:rFonts w:eastAsia="Times New Roman"/>
            </w:rPr>
            <w:t xml:space="preserve"> the name of the State Board of Podiatric Medical Examiners with the Texas Department of Licensing and Regulation per legislative action;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3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>allows physicians to view PMP prescribing history of individuals to whom they have given delegating prescribing authority;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4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 xml:space="preserve">updates the Controlled Substances Act to require wholesale distributors to report on all controlled substances in the </w:t>
          </w:r>
          <w:r>
            <w:rPr>
              <w:rFonts w:eastAsia="Times New Roman"/>
            </w:rPr>
            <w:t>same format as required by the f</w:t>
          </w:r>
          <w:r w:rsidRPr="0092567D">
            <w:rPr>
              <w:rFonts w:eastAsia="Times New Roman"/>
            </w:rPr>
            <w:t>ederal Food and Drug Administration;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5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>allows the Interagency PMP Work Group to meet “as necessary” instead of quarterly;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6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>allows Class E (mail order) pharmacies to be processing facilities as in other states;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7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>update</w:t>
          </w:r>
          <w:r>
            <w:rPr>
              <w:rFonts w:eastAsia="Times New Roman"/>
            </w:rPr>
            <w:t>s</w:t>
          </w:r>
          <w:r w:rsidRPr="0092567D">
            <w:rPr>
              <w:rFonts w:eastAsia="Times New Roman"/>
            </w:rPr>
            <w:t xml:space="preserve"> language that allows </w:t>
          </w:r>
          <w:r>
            <w:rPr>
              <w:rFonts w:eastAsia="Times New Roman"/>
            </w:rPr>
            <w:t xml:space="preserve">TSBP </w:t>
          </w:r>
          <w:r w:rsidRPr="0092567D">
            <w:rPr>
              <w:rFonts w:eastAsia="Times New Roman"/>
            </w:rPr>
            <w:t>to regulate a pharmacist when administering an Immunization and Vaccination under certain conditions;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8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>repeals sections of the code requiring the licensure of Canadian pharmacies shipping prescript</w:t>
          </w:r>
          <w:r>
            <w:rPr>
              <w:rFonts w:eastAsia="Times New Roman"/>
            </w:rPr>
            <w:t>ions to Texas based on a Texas</w:t>
          </w:r>
          <w:r w:rsidRPr="0092567D">
            <w:rPr>
              <w:rFonts w:eastAsia="Times New Roman"/>
            </w:rPr>
            <w:t xml:space="preserve"> attorney general opinion stating this would be a violation of federal law; and</w:t>
          </w:r>
        </w:p>
        <w:p w:rsidR="005D5EF5" w:rsidRPr="0092567D" w:rsidRDefault="005D5EF5" w:rsidP="005D5EF5">
          <w:pPr>
            <w:pStyle w:val="NormalWeb"/>
            <w:spacing w:before="0" w:beforeAutospacing="0" w:after="0" w:afterAutospacing="0"/>
            <w:jc w:val="both"/>
            <w:divId w:val="21324672"/>
          </w:pPr>
          <w:r w:rsidRPr="0092567D">
            <w:t> </w:t>
          </w:r>
        </w:p>
        <w:p w:rsidR="005D5EF5" w:rsidRPr="0092567D" w:rsidRDefault="005D5EF5" w:rsidP="005D5EF5">
          <w:pPr>
            <w:numPr>
              <w:ilvl w:val="0"/>
              <w:numId w:val="9"/>
            </w:numPr>
            <w:spacing w:after="0" w:line="240" w:lineRule="auto"/>
            <w:jc w:val="both"/>
            <w:divId w:val="21324672"/>
            <w:rPr>
              <w:rFonts w:eastAsia="Times New Roman"/>
            </w:rPr>
          </w:pPr>
          <w:r w:rsidRPr="0092567D">
            <w:rPr>
              <w:rFonts w:eastAsia="Times New Roman"/>
            </w:rPr>
            <w:t>repeals the “sister state” section that prevents a license renewal of a pharmacy in Texas if a pharmacy owned by the same company is subject to disciplinary action in another state. (Original Author's/Sponsor's Statement of Intent)</w:t>
          </w:r>
        </w:p>
        <w:p w:rsidR="005D5EF5" w:rsidRPr="00D70925" w:rsidRDefault="005D5EF5" w:rsidP="005D5EF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D5EF5" w:rsidRDefault="005D5E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683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licensing and regulation of pharmacists and pharmacies.</w:t>
      </w:r>
    </w:p>
    <w:p w:rsidR="005D5EF5" w:rsidRPr="0092567D" w:rsidRDefault="005D5E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Pr="005C2A78" w:rsidRDefault="005D5E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B6A8BFE96C447B38ED1C29BC7AAD4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D5EF5" w:rsidRPr="006529C4" w:rsidRDefault="005D5E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D5EF5" w:rsidRPr="006529C4" w:rsidRDefault="005D5EF5" w:rsidP="000E4C5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previously granted to </w:t>
      </w:r>
      <w:r w:rsidRPr="000A7B04">
        <w:rPr>
          <w:rFonts w:cs="Times New Roman"/>
          <w:szCs w:val="24"/>
        </w:rPr>
        <w:t xml:space="preserve">Texas State Board of Pharmacy </w:t>
      </w:r>
      <w:r>
        <w:rPr>
          <w:rFonts w:cs="Times New Roman"/>
          <w:szCs w:val="24"/>
        </w:rPr>
        <w:t>is rescinded in SECTION 7 (Sections 554.016 and 556.0555, Occupations Code) of this bill.</w:t>
      </w:r>
    </w:p>
    <w:p w:rsidR="005D5EF5" w:rsidRPr="006529C4" w:rsidRDefault="005D5EF5" w:rsidP="000E4C5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D5EF5" w:rsidRPr="005C2A78" w:rsidRDefault="005D5EF5" w:rsidP="000E4C5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02348A335874CD3977FEFA564666AF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D5EF5" w:rsidRPr="005C2A78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481.075(i), Health and Safety Code, as follows: 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Pr="005C2A78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Requires each dispensing pharmacist, if the pharmacy does</w:t>
      </w:r>
      <w:r w:rsidRPr="0039656E">
        <w:rPr>
          <w:rFonts w:eastAsia="Times New Roman" w:cs="Times New Roman"/>
          <w:szCs w:val="24"/>
        </w:rPr>
        <w:t xml:space="preserve"> not dispense any controlled substance prescriptions during a period of seven consecutive days, </w:t>
      </w:r>
      <w:r>
        <w:rPr>
          <w:rFonts w:eastAsia="Times New Roman" w:cs="Times New Roman"/>
          <w:szCs w:val="24"/>
        </w:rPr>
        <w:t xml:space="preserve">to </w:t>
      </w:r>
      <w:r w:rsidRPr="0039656E">
        <w:rPr>
          <w:rFonts w:eastAsia="Times New Roman" w:cs="Times New Roman"/>
          <w:szCs w:val="24"/>
        </w:rPr>
        <w:t xml:space="preserve">send a report to the </w:t>
      </w:r>
      <w:r>
        <w:rPr>
          <w:rFonts w:eastAsia="Times New Roman" w:cs="Times New Roman"/>
          <w:szCs w:val="24"/>
        </w:rPr>
        <w:t>Texas State Board of Pharmacy (TSBP)</w:t>
      </w:r>
      <w:r w:rsidRPr="0039656E">
        <w:rPr>
          <w:rFonts w:eastAsia="Times New Roman" w:cs="Times New Roman"/>
          <w:szCs w:val="24"/>
        </w:rPr>
        <w:t xml:space="preserve"> indicating that the pharmacy did not dispense any controlled substance prescriptions during that period, unless the pharmacy has obtained a waiver or permission to delay reporting to </w:t>
      </w:r>
      <w:r>
        <w:rPr>
          <w:rFonts w:eastAsia="Times New Roman" w:cs="Times New Roman"/>
          <w:szCs w:val="24"/>
        </w:rPr>
        <w:t>TSBP. Makes nonsubstantive changes.</w:t>
      </w:r>
    </w:p>
    <w:p w:rsidR="005D5EF5" w:rsidRPr="005C2A78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Sections 481.076(a) and (k), Health and Safety Code, as follows: 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Prohibits TSBP from permitting </w:t>
      </w:r>
      <w:r w:rsidRPr="0039656E">
        <w:rPr>
          <w:rFonts w:eastAsia="Times New Roman" w:cs="Times New Roman"/>
          <w:szCs w:val="24"/>
        </w:rPr>
        <w:t xml:space="preserve">any person to have access to information submitted to </w:t>
      </w:r>
      <w:r>
        <w:rPr>
          <w:rFonts w:eastAsia="Times New Roman" w:cs="Times New Roman"/>
          <w:szCs w:val="24"/>
        </w:rPr>
        <w:t>TSBP</w:t>
      </w:r>
      <w:r w:rsidRPr="0039656E">
        <w:rPr>
          <w:rFonts w:eastAsia="Times New Roman" w:cs="Times New Roman"/>
          <w:szCs w:val="24"/>
        </w:rPr>
        <w:t xml:space="preserve"> under Section 481.074(q) </w:t>
      </w:r>
      <w:r>
        <w:rPr>
          <w:rFonts w:eastAsia="Times New Roman" w:cs="Times New Roman"/>
          <w:szCs w:val="24"/>
        </w:rPr>
        <w:t xml:space="preserve">(relating to the requirement that pharmacists send certain information to TSBP) </w:t>
      </w:r>
      <w:r w:rsidRPr="0039656E">
        <w:rPr>
          <w:rFonts w:eastAsia="Times New Roman" w:cs="Times New Roman"/>
          <w:szCs w:val="24"/>
        </w:rPr>
        <w:t xml:space="preserve">or 481.075 </w:t>
      </w:r>
      <w:r>
        <w:rPr>
          <w:rFonts w:eastAsia="Times New Roman" w:cs="Times New Roman"/>
          <w:szCs w:val="24"/>
        </w:rPr>
        <w:t xml:space="preserve">(Official Prescription Program) </w:t>
      </w:r>
      <w:r w:rsidRPr="0039656E">
        <w:rPr>
          <w:rFonts w:eastAsia="Times New Roman" w:cs="Times New Roman"/>
          <w:szCs w:val="24"/>
        </w:rPr>
        <w:t>except:</w:t>
      </w:r>
      <w:r>
        <w:rPr>
          <w:rFonts w:eastAsia="Times New Roman" w:cs="Times New Roman"/>
          <w:szCs w:val="24"/>
        </w:rPr>
        <w:t xml:space="preserve"> </w:t>
      </w: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certain entities, including</w:t>
      </w:r>
      <w:r w:rsidRPr="0039656E">
        <w:rPr>
          <w:rFonts w:eastAsia="Times New Roman" w:cs="Times New Roman"/>
          <w:szCs w:val="24"/>
        </w:rPr>
        <w:t xml:space="preserve"> the Texas Department of Licensing and Regulation, with respect to</w:t>
      </w:r>
      <w:r>
        <w:rPr>
          <w:rFonts w:eastAsia="Times New Roman" w:cs="Times New Roman"/>
          <w:szCs w:val="24"/>
        </w:rPr>
        <w:t xml:space="preserve"> the regulation of podiatrists, for certain</w:t>
      </w:r>
      <w:r w:rsidRPr="0039656E">
        <w:rPr>
          <w:rFonts w:eastAsia="Times New Roman" w:cs="Times New Roman"/>
          <w:szCs w:val="24"/>
        </w:rPr>
        <w:t xml:space="preserve"> purpose</w:t>
      </w:r>
      <w:r>
        <w:rPr>
          <w:rFonts w:eastAsia="Times New Roman" w:cs="Times New Roman"/>
          <w:szCs w:val="24"/>
        </w:rPr>
        <w:t>s. Deletes from this list the Texas State Board of Podiatric Examiners;</w:t>
      </w: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(2)–(4) makes no changes to these subdivisions; </w:t>
      </w: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39656E">
        <w:rPr>
          <w:rFonts w:eastAsia="Times New Roman" w:cs="Times New Roman"/>
          <w:szCs w:val="24"/>
        </w:rPr>
        <w:t>provided that accessing the information is authorized under the Health Insurance Portability and Accountability Act of 1996 (Pub. L. No. 104-191) and regulations adopted under that Act</w:t>
      </w:r>
      <w:r>
        <w:rPr>
          <w:rFonts w:eastAsia="Times New Roman" w:cs="Times New Roman"/>
          <w:szCs w:val="24"/>
        </w:rPr>
        <w:t>:</w:t>
      </w: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39656E">
        <w:rPr>
          <w:rFonts w:eastAsia="Times New Roman" w:cs="Times New Roman"/>
          <w:szCs w:val="24"/>
        </w:rPr>
        <w:t>a pharmacist or a pharmacist-intern, pharmacy technician, or pharmacy technician trainee, as defined by Section 551.003</w:t>
      </w:r>
      <w:r>
        <w:rPr>
          <w:rFonts w:eastAsia="Times New Roman" w:cs="Times New Roman"/>
          <w:szCs w:val="24"/>
        </w:rPr>
        <w:t xml:space="preserve"> (Definitions)</w:t>
      </w:r>
      <w:r w:rsidRPr="0039656E">
        <w:rPr>
          <w:rFonts w:eastAsia="Times New Roman" w:cs="Times New Roman"/>
          <w:szCs w:val="24"/>
        </w:rPr>
        <w:t>, Occupations Code, acting at the direction of a pharmacist, who is inquiring about a recent Schedule II, III, IV, or V prescription history of a particular patient of the pharmacist</w:t>
      </w:r>
      <w:r>
        <w:rPr>
          <w:rFonts w:eastAsia="Times New Roman" w:cs="Times New Roman"/>
          <w:szCs w:val="24"/>
        </w:rPr>
        <w:t>, rather than a pharmacist or a pharmacy technician</w:t>
      </w:r>
      <w:r w:rsidRPr="0039656E">
        <w:t xml:space="preserve"> </w:t>
      </w:r>
      <w:r w:rsidRPr="0039656E">
        <w:rPr>
          <w:rFonts w:eastAsia="Times New Roman" w:cs="Times New Roman"/>
          <w:szCs w:val="24"/>
        </w:rPr>
        <w:t>as defined by Section 551.003, Occupations Code, acting at the direction of a pharmacist; or</w:t>
      </w:r>
    </w:p>
    <w:p w:rsidR="005D5EF5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makes no changes to this paragraph;</w:t>
      </w:r>
    </w:p>
    <w:p w:rsidR="005D5EF5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</w:t>
      </w:r>
      <w:r w:rsidRPr="0039656E">
        <w:rPr>
          <w:rFonts w:eastAsia="Times New Roman" w:cs="Times New Roman"/>
          <w:szCs w:val="24"/>
        </w:rPr>
        <w:t>a pharmacist or practitioner who is inquiring about the person's own dispensing or prescribing activity or a practitioner who is inquiring about the prescribing activity of an individual to whom the practitioner has delegated prescribing authority</w:t>
      </w:r>
      <w:r>
        <w:rPr>
          <w:rFonts w:eastAsia="Times New Roman" w:cs="Times New Roman"/>
          <w:szCs w:val="24"/>
        </w:rPr>
        <w:t xml:space="preserve">, rather than </w:t>
      </w:r>
      <w:r w:rsidRPr="0039656E">
        <w:rPr>
          <w:rFonts w:eastAsia="Times New Roman" w:cs="Times New Roman"/>
          <w:szCs w:val="24"/>
        </w:rPr>
        <w:t>a pharmacist or practitioner who is inquiring about the person's own dispensing or prescribing activity; or</w:t>
      </w: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(7) makes no changes to this subdivision. </w:t>
      </w: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Pr="005C2A78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(k) Provides that a </w:t>
      </w:r>
      <w:r w:rsidRPr="0039656E">
        <w:rPr>
          <w:rFonts w:eastAsia="Times New Roman" w:cs="Times New Roman"/>
          <w:szCs w:val="24"/>
        </w:rPr>
        <w:t>person authorized to access information</w:t>
      </w:r>
      <w:r>
        <w:rPr>
          <w:rFonts w:eastAsia="Times New Roman" w:cs="Times New Roman"/>
          <w:szCs w:val="24"/>
        </w:rPr>
        <w:t xml:space="preserve"> under Subsection (a)(4) or (5), rather than under (a)(4), </w:t>
      </w:r>
      <w:r w:rsidRPr="0039656E">
        <w:rPr>
          <w:rFonts w:eastAsia="Times New Roman" w:cs="Times New Roman"/>
          <w:szCs w:val="24"/>
        </w:rPr>
        <w:t xml:space="preserve">who is registered with </w:t>
      </w:r>
      <w:r>
        <w:rPr>
          <w:rFonts w:eastAsia="Times New Roman" w:cs="Times New Roman"/>
          <w:szCs w:val="24"/>
        </w:rPr>
        <w:t>TSBP</w:t>
      </w:r>
      <w:r w:rsidRPr="0039656E">
        <w:rPr>
          <w:rFonts w:eastAsia="Times New Roman" w:cs="Times New Roman"/>
          <w:szCs w:val="24"/>
        </w:rPr>
        <w:t xml:space="preserve"> for electronic access to the information is entitled to directly access the information available from other states pursuant to an interoperability agreement described by Subsection (j).</w:t>
      </w:r>
    </w:p>
    <w:p w:rsidR="005D5EF5" w:rsidRPr="005C2A78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481.0766(a), Health and Safety Code, as follows: 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a wholesale distributor to report to TSBP the </w:t>
      </w:r>
      <w:r w:rsidRPr="0039656E">
        <w:rPr>
          <w:rFonts w:eastAsia="Times New Roman" w:cs="Times New Roman"/>
          <w:szCs w:val="24"/>
        </w:rPr>
        <w:t>distribution of all Schedules II, III, IV, and V controlled substances</w:t>
      </w:r>
      <w:r>
        <w:rPr>
          <w:rFonts w:eastAsia="Times New Roman" w:cs="Times New Roman"/>
          <w:szCs w:val="24"/>
        </w:rPr>
        <w:t>, rather than requiring a</w:t>
      </w:r>
      <w:r w:rsidRPr="000A7B04">
        <w:rPr>
          <w:rFonts w:eastAsia="Times New Roman" w:cs="Times New Roman"/>
          <w:szCs w:val="24"/>
        </w:rPr>
        <w:t xml:space="preserve"> wholesale distributor to report to TSBP the </w:t>
      </w:r>
      <w:r w:rsidRPr="0039656E">
        <w:rPr>
          <w:rFonts w:eastAsia="Times New Roman" w:cs="Times New Roman"/>
          <w:szCs w:val="24"/>
        </w:rPr>
        <w:t>information that the distributor is required to report to the Automation of Reports and Consolidated Orders System (ARCOS) of the Federal Drug Enforcement Administration for the distrib</w:t>
      </w:r>
      <w:r>
        <w:rPr>
          <w:rFonts w:eastAsia="Times New Roman" w:cs="Times New Roman"/>
          <w:szCs w:val="24"/>
        </w:rPr>
        <w:t>ution of a controlled substance,</w:t>
      </w:r>
      <w:r w:rsidRPr="0039656E">
        <w:rPr>
          <w:rFonts w:eastAsia="Times New Roman" w:cs="Times New Roman"/>
          <w:szCs w:val="24"/>
        </w:rPr>
        <w:t xml:space="preserve"> by the distributor to a person i</w:t>
      </w:r>
      <w:r>
        <w:rPr>
          <w:rFonts w:eastAsia="Times New Roman" w:cs="Times New Roman"/>
          <w:szCs w:val="24"/>
        </w:rPr>
        <w:t>n this state. Require t</w:t>
      </w:r>
      <w:r w:rsidRPr="0039656E">
        <w:rPr>
          <w:rFonts w:eastAsia="Times New Roman" w:cs="Times New Roman"/>
          <w:szCs w:val="24"/>
        </w:rPr>
        <w:t xml:space="preserve">he distributor </w:t>
      </w:r>
      <w:r>
        <w:rPr>
          <w:rFonts w:eastAsia="Times New Roman" w:cs="Times New Roman"/>
          <w:szCs w:val="24"/>
        </w:rPr>
        <w:t>to</w:t>
      </w:r>
      <w:r w:rsidRPr="0039656E">
        <w:rPr>
          <w:rFonts w:eastAsia="Times New Roman" w:cs="Times New Roman"/>
          <w:szCs w:val="24"/>
        </w:rPr>
        <w:t xml:space="preserve"> report the information to </w:t>
      </w:r>
      <w:r>
        <w:rPr>
          <w:rFonts w:eastAsia="Times New Roman" w:cs="Times New Roman"/>
          <w:szCs w:val="24"/>
        </w:rPr>
        <w:t>TSBP</w:t>
      </w:r>
      <w:r w:rsidRPr="0039656E">
        <w:rPr>
          <w:rFonts w:eastAsia="Times New Roman" w:cs="Times New Roman"/>
          <w:szCs w:val="24"/>
        </w:rPr>
        <w:t xml:space="preserve"> in the same format and with the same frequency as the information is reported to the Federal Drug Enforcement Administration</w:t>
      </w:r>
      <w:r>
        <w:rPr>
          <w:rFonts w:eastAsia="Times New Roman" w:cs="Times New Roman"/>
          <w:szCs w:val="24"/>
        </w:rPr>
        <w:t xml:space="preserve">, rather than ARCOS. 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Section 481.353(a), Health and Safety Code, to require the work group to meet when necessary as determined by TSBP, rather than at least quarterly. 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 Amends Section 560.051(f), Occupations Code, as follows: 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Authorizes a </w:t>
      </w:r>
      <w:r w:rsidRPr="0039656E">
        <w:rPr>
          <w:rFonts w:eastAsia="Times New Roman" w:cs="Times New Roman"/>
          <w:szCs w:val="24"/>
        </w:rPr>
        <w:t xml:space="preserve">Class E pharmacy license or nonresident pharmacy license </w:t>
      </w:r>
      <w:r>
        <w:rPr>
          <w:rFonts w:eastAsia="Times New Roman" w:cs="Times New Roman"/>
          <w:szCs w:val="24"/>
        </w:rPr>
        <w:t>to</w:t>
      </w:r>
      <w:r w:rsidRPr="0039656E">
        <w:rPr>
          <w:rFonts w:eastAsia="Times New Roman" w:cs="Times New Roman"/>
          <w:szCs w:val="24"/>
        </w:rPr>
        <w:t xml:space="preserve"> be issued to a pharmacy located in another state whose primary business is to</w:t>
      </w:r>
      <w:r>
        <w:rPr>
          <w:rFonts w:eastAsia="Times New Roman" w:cs="Times New Roman"/>
          <w:szCs w:val="24"/>
        </w:rPr>
        <w:t xml:space="preserve">: </w:t>
      </w: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creates this subdivision from existing Paragraphs (A) and (B) and makes nonsubstantive changes; </w:t>
      </w: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39656E">
        <w:rPr>
          <w:rFonts w:eastAsia="Times New Roman" w:cs="Times New Roman"/>
          <w:szCs w:val="24"/>
        </w:rPr>
        <w:t>process a prescription drug order for a patient, including a patient in this state; or</w:t>
      </w:r>
    </w:p>
    <w:p w:rsidR="005D5EF5" w:rsidRPr="0039656E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39656E">
        <w:rPr>
          <w:rFonts w:eastAsia="Times New Roman" w:cs="Times New Roman"/>
          <w:szCs w:val="24"/>
        </w:rPr>
        <w:t xml:space="preserve">perform another pharmaceutical service, as defined by </w:t>
      </w:r>
      <w:r>
        <w:rPr>
          <w:rFonts w:eastAsia="Times New Roman" w:cs="Times New Roman"/>
          <w:szCs w:val="24"/>
        </w:rPr>
        <w:t>TSBP</w:t>
      </w:r>
      <w:r w:rsidRPr="0039656E">
        <w:rPr>
          <w:rFonts w:eastAsia="Times New Roman" w:cs="Times New Roman"/>
          <w:szCs w:val="24"/>
        </w:rPr>
        <w:t xml:space="preserve"> rule.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Amends </w:t>
      </w:r>
      <w:r w:rsidRPr="0092567D">
        <w:rPr>
          <w:rFonts w:eastAsia="Times New Roman" w:cs="Times New Roman"/>
          <w:szCs w:val="24"/>
        </w:rPr>
        <w:t>Subchapter B, Chapter 565, Occupations Code, by adding Section 565.0591</w:t>
      </w:r>
      <w:r>
        <w:rPr>
          <w:rFonts w:eastAsia="Times New Roman" w:cs="Times New Roman"/>
          <w:szCs w:val="24"/>
        </w:rPr>
        <w:t xml:space="preserve">, as follows: 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Sec. 565.0591.</w:t>
      </w:r>
      <w:r>
        <w:rPr>
          <w:rFonts w:eastAsia="Times New Roman" w:cs="Times New Roman"/>
          <w:szCs w:val="24"/>
        </w:rPr>
        <w:t xml:space="preserve"> </w:t>
      </w:r>
      <w:r w:rsidRPr="0092567D">
        <w:rPr>
          <w:rFonts w:eastAsia="Times New Roman" w:cs="Times New Roman"/>
          <w:szCs w:val="24"/>
        </w:rPr>
        <w:t>REVOCATION OF PHARMACY LICEN</w:t>
      </w:r>
      <w:r>
        <w:rPr>
          <w:rFonts w:eastAsia="Times New Roman" w:cs="Times New Roman"/>
          <w:szCs w:val="24"/>
        </w:rPr>
        <w:t>SE FOR FAILURE TO OPERATE. (a) Requires TSBP, o</w:t>
      </w:r>
      <w:r w:rsidRPr="0092567D">
        <w:rPr>
          <w:rFonts w:eastAsia="Times New Roman" w:cs="Times New Roman"/>
          <w:szCs w:val="24"/>
        </w:rPr>
        <w:t xml:space="preserve">n discovery by </w:t>
      </w:r>
      <w:r>
        <w:rPr>
          <w:rFonts w:eastAsia="Times New Roman" w:cs="Times New Roman"/>
          <w:szCs w:val="24"/>
        </w:rPr>
        <w:t>TSBP</w:t>
      </w:r>
      <w:r w:rsidRPr="0092567D">
        <w:rPr>
          <w:rFonts w:eastAsia="Times New Roman" w:cs="Times New Roman"/>
          <w:szCs w:val="24"/>
        </w:rPr>
        <w:t xml:space="preserve"> that a pharmacy licensed under Chapter 560</w:t>
      </w:r>
      <w:r>
        <w:rPr>
          <w:rFonts w:eastAsia="Times New Roman" w:cs="Times New Roman"/>
          <w:szCs w:val="24"/>
        </w:rPr>
        <w:t xml:space="preserve"> (Licensing of Pharmacies)</w:t>
      </w:r>
      <w:r w:rsidRPr="0092567D">
        <w:rPr>
          <w:rFonts w:eastAsia="Times New Roman" w:cs="Times New Roman"/>
          <w:szCs w:val="24"/>
        </w:rPr>
        <w:t xml:space="preserve"> has ceased to operate for a period of 30 days or longer, </w:t>
      </w:r>
      <w:r>
        <w:rPr>
          <w:rFonts w:eastAsia="Times New Roman" w:cs="Times New Roman"/>
          <w:szCs w:val="24"/>
        </w:rPr>
        <w:t>to</w:t>
      </w:r>
      <w:r w:rsidRPr="0092567D">
        <w:rPr>
          <w:rFonts w:eastAsia="Times New Roman" w:cs="Times New Roman"/>
          <w:szCs w:val="24"/>
        </w:rPr>
        <w:t xml:space="preserve"> notify the pharmacy that the license will be revoked.</w:t>
      </w:r>
    </w:p>
    <w:p w:rsidR="005D5EF5" w:rsidRPr="0092567D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the notice to include certain information. </w:t>
      </w: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Authorizes the license holder, n</w:t>
      </w:r>
      <w:r w:rsidRPr="0092567D">
        <w:rPr>
          <w:rFonts w:eastAsia="Times New Roman" w:cs="Times New Roman"/>
          <w:szCs w:val="24"/>
        </w:rPr>
        <w:t xml:space="preserve">ot later than the 20th day after the date the license holder receives the notice of revocation under this section, </w:t>
      </w:r>
      <w:r>
        <w:rPr>
          <w:rFonts w:eastAsia="Times New Roman" w:cs="Times New Roman"/>
          <w:szCs w:val="24"/>
        </w:rPr>
        <w:t>to</w:t>
      </w:r>
      <w:r w:rsidRPr="0092567D">
        <w:rPr>
          <w:rFonts w:eastAsia="Times New Roman" w:cs="Times New Roman"/>
          <w:szCs w:val="24"/>
        </w:rPr>
        <w:t xml:space="preserve"> submit a written request for a hearing to contest the revocation.</w:t>
      </w: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TSBP, i</w:t>
      </w:r>
      <w:r w:rsidRPr="0092567D">
        <w:rPr>
          <w:rFonts w:eastAsia="Times New Roman" w:cs="Times New Roman"/>
          <w:szCs w:val="24"/>
        </w:rPr>
        <w:t>f the license holder does not request a hearing within the period p</w:t>
      </w:r>
      <w:r>
        <w:rPr>
          <w:rFonts w:eastAsia="Times New Roman" w:cs="Times New Roman"/>
          <w:szCs w:val="24"/>
        </w:rPr>
        <w:t>rescribed by Subsection (c), to</w:t>
      </w:r>
      <w:r w:rsidRPr="0092567D">
        <w:rPr>
          <w:rFonts w:eastAsia="Times New Roman" w:cs="Times New Roman"/>
          <w:szCs w:val="24"/>
        </w:rPr>
        <w:t>:</w:t>
      </w: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92567D">
        <w:rPr>
          <w:rFonts w:eastAsia="Times New Roman" w:cs="Times New Roman"/>
          <w:szCs w:val="24"/>
        </w:rPr>
        <w:t>enter an order revoking the license; and</w:t>
      </w:r>
    </w:p>
    <w:p w:rsidR="005D5EF5" w:rsidRPr="0092567D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92567D">
        <w:rPr>
          <w:rFonts w:eastAsia="Times New Roman" w:cs="Times New Roman"/>
          <w:szCs w:val="24"/>
        </w:rPr>
        <w:t>notify the license holder of the order.</w:t>
      </w: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Requires </w:t>
      </w:r>
      <w:r w:rsidRPr="0092567D">
        <w:rPr>
          <w:rFonts w:eastAsia="Times New Roman" w:cs="Times New Roman"/>
          <w:szCs w:val="24"/>
        </w:rPr>
        <w:t xml:space="preserve">a panel of three </w:t>
      </w:r>
      <w:r>
        <w:rPr>
          <w:rFonts w:eastAsia="Times New Roman" w:cs="Times New Roman"/>
          <w:szCs w:val="24"/>
        </w:rPr>
        <w:t xml:space="preserve">TSBP </w:t>
      </w:r>
      <w:r w:rsidRPr="0092567D">
        <w:rPr>
          <w:rFonts w:eastAsia="Times New Roman" w:cs="Times New Roman"/>
          <w:szCs w:val="24"/>
        </w:rPr>
        <w:t xml:space="preserve">members appointed by the president of </w:t>
      </w:r>
      <w:r>
        <w:rPr>
          <w:rFonts w:eastAsia="Times New Roman" w:cs="Times New Roman"/>
          <w:szCs w:val="24"/>
        </w:rPr>
        <w:t>TSBP, i</w:t>
      </w:r>
      <w:r w:rsidRPr="0092567D">
        <w:rPr>
          <w:rFonts w:eastAsia="Times New Roman" w:cs="Times New Roman"/>
          <w:szCs w:val="24"/>
        </w:rPr>
        <w:t xml:space="preserve">f the license holder requests a hearing within the period prescribed by Subsection (c), </w:t>
      </w:r>
      <w:r>
        <w:rPr>
          <w:rFonts w:eastAsia="Times New Roman" w:cs="Times New Roman"/>
          <w:szCs w:val="24"/>
        </w:rPr>
        <w:t>to</w:t>
      </w:r>
      <w:r w:rsidRPr="0092567D">
        <w:rPr>
          <w:rFonts w:eastAsia="Times New Roman" w:cs="Times New Roman"/>
          <w:szCs w:val="24"/>
        </w:rPr>
        <w:t xml:space="preserve"> co</w:t>
      </w:r>
      <w:r>
        <w:rPr>
          <w:rFonts w:eastAsia="Times New Roman" w:cs="Times New Roman"/>
          <w:szCs w:val="24"/>
        </w:rPr>
        <w:t>nduct the hearing. Requires the panel, a</w:t>
      </w:r>
      <w:r w:rsidRPr="0092567D">
        <w:rPr>
          <w:rFonts w:eastAsia="Times New Roman" w:cs="Times New Roman"/>
          <w:szCs w:val="24"/>
        </w:rPr>
        <w:t xml:space="preserve">t the hearing </w:t>
      </w:r>
      <w:r>
        <w:rPr>
          <w:rFonts w:eastAsia="Times New Roman" w:cs="Times New Roman"/>
          <w:szCs w:val="24"/>
        </w:rPr>
        <w:t>to</w:t>
      </w:r>
      <w:r w:rsidRPr="0092567D">
        <w:rPr>
          <w:rFonts w:eastAsia="Times New Roman" w:cs="Times New Roman"/>
          <w:szCs w:val="24"/>
        </w:rPr>
        <w:t xml:space="preserve"> determine whether the license holder has violated Section 565.002(a)(7)</w:t>
      </w:r>
      <w:r>
        <w:rPr>
          <w:rFonts w:eastAsia="Times New Roman" w:cs="Times New Roman"/>
          <w:szCs w:val="24"/>
        </w:rPr>
        <w:t xml:space="preserve"> (relating to TSBP disciplining an </w:t>
      </w:r>
      <w:r w:rsidRPr="0092567D">
        <w:rPr>
          <w:rFonts w:eastAsia="Times New Roman" w:cs="Times New Roman"/>
          <w:szCs w:val="24"/>
        </w:rPr>
        <w:t>applicant for or the holder of a pharmacy license</w:t>
      </w:r>
      <w:r>
        <w:rPr>
          <w:rFonts w:eastAsia="Times New Roman" w:cs="Times New Roman"/>
          <w:szCs w:val="24"/>
        </w:rPr>
        <w:t xml:space="preserve"> if the applicant </w:t>
      </w:r>
      <w:r w:rsidRPr="0092567D">
        <w:rPr>
          <w:rFonts w:eastAsia="Times New Roman" w:cs="Times New Roman"/>
          <w:szCs w:val="24"/>
        </w:rPr>
        <w:t>failed to engage in or ceased to engage in the business described in the application for a license</w:t>
      </w:r>
      <w:r>
        <w:rPr>
          <w:rFonts w:eastAsia="Times New Roman" w:cs="Times New Roman"/>
          <w:szCs w:val="24"/>
        </w:rPr>
        <w:t>)</w:t>
      </w:r>
      <w:r w:rsidRPr="0092567D">
        <w:rPr>
          <w:rFonts w:eastAsia="Times New Roman" w:cs="Times New Roman"/>
          <w:szCs w:val="24"/>
        </w:rPr>
        <w:t>.</w:t>
      </w: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TSBP, i</w:t>
      </w:r>
      <w:r w:rsidRPr="0092567D">
        <w:rPr>
          <w:rFonts w:eastAsia="Times New Roman" w:cs="Times New Roman"/>
          <w:szCs w:val="24"/>
        </w:rPr>
        <w:t xml:space="preserve">f the panel determines that the license holder committed the violation, </w:t>
      </w:r>
      <w:r>
        <w:rPr>
          <w:rFonts w:eastAsia="Times New Roman" w:cs="Times New Roman"/>
          <w:szCs w:val="24"/>
        </w:rPr>
        <w:t>to</w:t>
      </w:r>
      <w:r w:rsidRPr="0092567D">
        <w:rPr>
          <w:rFonts w:eastAsia="Times New Roman" w:cs="Times New Roman"/>
          <w:szCs w:val="24"/>
        </w:rPr>
        <w:t xml:space="preserve"> promptly:</w:t>
      </w: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92567D">
        <w:rPr>
          <w:rFonts w:eastAsia="Times New Roman" w:cs="Times New Roman"/>
          <w:szCs w:val="24"/>
        </w:rPr>
        <w:t>enter an order revoking the license; and</w:t>
      </w:r>
    </w:p>
    <w:p w:rsidR="005D5EF5" w:rsidRPr="0092567D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D5EF5" w:rsidRPr="0092567D" w:rsidRDefault="005D5EF5" w:rsidP="000E4C5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92567D">
        <w:rPr>
          <w:rFonts w:eastAsia="Times New Roman" w:cs="Times New Roman"/>
          <w:szCs w:val="24"/>
        </w:rPr>
        <w:t>notify the license holder of the order.</w:t>
      </w:r>
    </w:p>
    <w:p w:rsidR="005D5EF5" w:rsidRPr="0092567D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2567D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Provides that </w:t>
      </w:r>
      <w:r w:rsidRPr="0092567D">
        <w:rPr>
          <w:rFonts w:eastAsia="Times New Roman" w:cs="Times New Roman"/>
          <w:szCs w:val="24"/>
        </w:rPr>
        <w:t>Chapter 2001</w:t>
      </w:r>
      <w:r>
        <w:rPr>
          <w:rFonts w:eastAsia="Times New Roman" w:cs="Times New Roman"/>
          <w:szCs w:val="24"/>
        </w:rPr>
        <w:t xml:space="preserve"> (Administrative Procedure)</w:t>
      </w:r>
      <w:r w:rsidRPr="0092567D">
        <w:rPr>
          <w:rFonts w:eastAsia="Times New Roman" w:cs="Times New Roman"/>
          <w:szCs w:val="24"/>
        </w:rPr>
        <w:t>, Government Code, does not apply to a determination under Subsection (e).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7. Repealer: Section 554.016 (Canadian Pharmacy Inspection; Designation; Fees; Information), Occupations Code.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Repealer: Section 556.0555 (Inspections), Occupations Code.</w:t>
      </w: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Repealer: Section 560.001(c) (relating to the prohibiting a pharmacy located in Canada from shipping, mailing, or delivering prescriptions unless certain conditions are met), Occupations Code. </w:t>
      </w: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Repealer: Section 560.0525 (Additional Qualification Requirements For Canadian Pharmacies), Occupations Code.</w:t>
      </w: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Repealer: Section 561.003(f) (relating to the prohibiting a pharmacy from renewing a license if the pharmacy's license to operate was revoked in another state), Occupations Code.</w:t>
      </w: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Repealer: Section 562.101 (f-1) (relating to the requirements relating to the designation of a pharmacist-in-charge for a Canadian pharmacy), Occupations Code.</w:t>
      </w: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Repealer: Section 562.111 (Prescription Drug Order For Consumer), Occupations Code.</w:t>
      </w: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5EF5" w:rsidRDefault="005D5EF5" w:rsidP="000E4C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Repealer Subchapter E, Chapter 562 (Practice by Canadian Pharmacy), Occupations Code. </w:t>
      </w:r>
    </w:p>
    <w:p w:rsidR="005D5EF5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5EF5" w:rsidRPr="00C8671F" w:rsidRDefault="005D5EF5" w:rsidP="000E4C5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8. Effective date: September 1, 2019.</w:t>
      </w:r>
    </w:p>
    <w:sectPr w:rsidR="005D5EF5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8F" w:rsidRDefault="00DC588F" w:rsidP="000F1DF9">
      <w:pPr>
        <w:spacing w:after="0" w:line="240" w:lineRule="auto"/>
      </w:pPr>
      <w:r>
        <w:separator/>
      </w:r>
    </w:p>
  </w:endnote>
  <w:endnote w:type="continuationSeparator" w:id="0">
    <w:p w:rsidR="00DC588F" w:rsidRDefault="00DC588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C588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D5EF5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D5EF5">
                <w:rPr>
                  <w:sz w:val="20"/>
                  <w:szCs w:val="20"/>
                </w:rPr>
                <w:t>S.B. 683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D5EF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C588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D5EF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D5EF5">
                <w:rPr>
                  <w:noProof/>
                  <w:sz w:val="20"/>
                  <w:szCs w:val="20"/>
                </w:rPr>
                <w:t>4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8F" w:rsidRDefault="00DC588F" w:rsidP="000F1DF9">
      <w:pPr>
        <w:spacing w:after="0" w:line="240" w:lineRule="auto"/>
      </w:pPr>
      <w:r>
        <w:separator/>
      </w:r>
    </w:p>
  </w:footnote>
  <w:footnote w:type="continuationSeparator" w:id="0">
    <w:p w:rsidR="00DC588F" w:rsidRDefault="00DC588F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634"/>
    <w:multiLevelType w:val="multilevel"/>
    <w:tmpl w:val="2A86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556C3"/>
    <w:multiLevelType w:val="multilevel"/>
    <w:tmpl w:val="686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17116"/>
    <w:multiLevelType w:val="multilevel"/>
    <w:tmpl w:val="534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93104"/>
    <w:multiLevelType w:val="multilevel"/>
    <w:tmpl w:val="281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90042"/>
    <w:multiLevelType w:val="multilevel"/>
    <w:tmpl w:val="39CC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B686F"/>
    <w:multiLevelType w:val="multilevel"/>
    <w:tmpl w:val="568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73547"/>
    <w:multiLevelType w:val="multilevel"/>
    <w:tmpl w:val="6946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E7F45"/>
    <w:multiLevelType w:val="multilevel"/>
    <w:tmpl w:val="9540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37DD9"/>
    <w:multiLevelType w:val="multilevel"/>
    <w:tmpl w:val="954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D5EF5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C588F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43B8"/>
  <w15:docId w15:val="{EC8DB00E-9B53-4EB9-8362-12C48E0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5EF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F066A" w:rsidP="004F066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94D53BCBA4248CEB1FF797EDCA7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FB91-8009-4D20-896C-BE86FD3A4D47}"/>
      </w:docPartPr>
      <w:docPartBody>
        <w:p w:rsidR="00000000" w:rsidRDefault="00F47A33"/>
      </w:docPartBody>
    </w:docPart>
    <w:docPart>
      <w:docPartPr>
        <w:name w:val="734CD73474B84F15A3CFB7660667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3333-0475-4768-AF7D-0338A7CB80E8}"/>
      </w:docPartPr>
      <w:docPartBody>
        <w:p w:rsidR="00000000" w:rsidRDefault="00F47A33"/>
      </w:docPartBody>
    </w:docPart>
    <w:docPart>
      <w:docPartPr>
        <w:name w:val="F1C1C9DAB5ED4CAF874E00E9C943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0B0F-FEF0-4644-9E3C-341818DFCC2D}"/>
      </w:docPartPr>
      <w:docPartBody>
        <w:p w:rsidR="00000000" w:rsidRDefault="00F47A33"/>
      </w:docPartBody>
    </w:docPart>
    <w:docPart>
      <w:docPartPr>
        <w:name w:val="9FDD29384BEB4D09A120144E9047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FCB0-B3EC-499D-A8F5-C080D45E0CB1}"/>
      </w:docPartPr>
      <w:docPartBody>
        <w:p w:rsidR="00000000" w:rsidRDefault="00F47A33"/>
      </w:docPartBody>
    </w:docPart>
    <w:docPart>
      <w:docPartPr>
        <w:name w:val="08EE65915B364496817CFB34015A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BA67-61B9-4965-A6B5-06605D09836D}"/>
      </w:docPartPr>
      <w:docPartBody>
        <w:p w:rsidR="00000000" w:rsidRDefault="00F47A33"/>
      </w:docPartBody>
    </w:docPart>
    <w:docPart>
      <w:docPartPr>
        <w:name w:val="D260D1B25D134F82AD8F3A559C11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9CA1-CB01-44DA-88C7-0CD8C80D9D37}"/>
      </w:docPartPr>
      <w:docPartBody>
        <w:p w:rsidR="00000000" w:rsidRDefault="00F47A33"/>
      </w:docPartBody>
    </w:docPart>
    <w:docPart>
      <w:docPartPr>
        <w:name w:val="4F3089D833724B26B0E7BB413C74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5414-DDD8-4888-8449-4017D63C60BE}"/>
      </w:docPartPr>
      <w:docPartBody>
        <w:p w:rsidR="00000000" w:rsidRDefault="00F47A33"/>
      </w:docPartBody>
    </w:docPart>
    <w:docPart>
      <w:docPartPr>
        <w:name w:val="BB9E6A5041C340F980577671975E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F645-01A3-4222-AAFC-07201C10CBDD}"/>
      </w:docPartPr>
      <w:docPartBody>
        <w:p w:rsidR="00000000" w:rsidRDefault="00F47A33"/>
      </w:docPartBody>
    </w:docPart>
    <w:docPart>
      <w:docPartPr>
        <w:name w:val="84A2C307062044179B60BEA5B5C7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C927-313D-4DD0-89C1-81B9CBF19B89}"/>
      </w:docPartPr>
      <w:docPartBody>
        <w:p w:rsidR="00000000" w:rsidRDefault="004F066A" w:rsidP="004F066A">
          <w:pPr>
            <w:pStyle w:val="84A2C307062044179B60BEA5B5C7910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8EC316BB5A44E7F9A848DAC5258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3404-1F1A-4CF4-996C-D47EF509F6F2}"/>
      </w:docPartPr>
      <w:docPartBody>
        <w:p w:rsidR="00000000" w:rsidRDefault="00F47A33"/>
      </w:docPartBody>
    </w:docPart>
    <w:docPart>
      <w:docPartPr>
        <w:name w:val="D12EE0D936F64188A3B076F0A1B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0BB5-FDB3-4AFC-8953-4680EA8AFF20}"/>
      </w:docPartPr>
      <w:docPartBody>
        <w:p w:rsidR="00000000" w:rsidRDefault="00F47A33"/>
      </w:docPartBody>
    </w:docPart>
    <w:docPart>
      <w:docPartPr>
        <w:name w:val="EBD18057E0CD43B2BA967DAFCF10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AD6E-A123-456C-95E8-EB60A20FF2FA}"/>
      </w:docPartPr>
      <w:docPartBody>
        <w:p w:rsidR="00000000" w:rsidRDefault="004F066A" w:rsidP="004F066A">
          <w:pPr>
            <w:pStyle w:val="EBD18057E0CD43B2BA967DAFCF10C17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B6A8BFE96C447B38ED1C29BC7AA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F354-3AA2-48E8-83F0-E65AACAAABFC}"/>
      </w:docPartPr>
      <w:docPartBody>
        <w:p w:rsidR="00000000" w:rsidRDefault="00F47A33"/>
      </w:docPartBody>
    </w:docPart>
    <w:docPart>
      <w:docPartPr>
        <w:name w:val="602348A335874CD3977FEFA56466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64A1-5756-4C5A-8AE6-057CF040D3E5}"/>
      </w:docPartPr>
      <w:docPartBody>
        <w:p w:rsidR="00000000" w:rsidRDefault="00F47A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066A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47A3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66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F066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F066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F066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4A2C307062044179B60BEA5B5C79101">
    <w:name w:val="84A2C307062044179B60BEA5B5C79101"/>
    <w:rsid w:val="004F066A"/>
    <w:pPr>
      <w:spacing w:after="160" w:line="259" w:lineRule="auto"/>
    </w:pPr>
  </w:style>
  <w:style w:type="paragraph" w:customStyle="1" w:styleId="EBD18057E0CD43B2BA967DAFCF10C179">
    <w:name w:val="EBD18057E0CD43B2BA967DAFCF10C179"/>
    <w:rsid w:val="004F06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FE5295F-61E6-4F40-938B-899ED358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1362</Words>
  <Characters>7769</Characters>
  <Application>Microsoft Office Word</Application>
  <DocSecurity>0</DocSecurity>
  <Lines>64</Lines>
  <Paragraphs>18</Paragraphs>
  <ScaleCrop>false</ScaleCrop>
  <Company>Texas Legislative Council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2019-05-30T20:41:00Z</cp:lastPrinted>
  <dcterms:created xsi:type="dcterms:W3CDTF">2015-05-29T14:24:00Z</dcterms:created>
  <dcterms:modified xsi:type="dcterms:W3CDTF">2019-05-30T20:41:00Z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