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027B0" w:rsidTr="00345119">
        <w:tc>
          <w:tcPr>
            <w:tcW w:w="9576" w:type="dxa"/>
            <w:noWrap/>
          </w:tcPr>
          <w:p w:rsidR="008423E4" w:rsidRPr="0022177D" w:rsidRDefault="00A0114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0114E" w:rsidP="008423E4">
      <w:pPr>
        <w:jc w:val="center"/>
      </w:pPr>
    </w:p>
    <w:p w:rsidR="008423E4" w:rsidRPr="00B31F0E" w:rsidRDefault="00A0114E" w:rsidP="008423E4"/>
    <w:p w:rsidR="008423E4" w:rsidRPr="00742794" w:rsidRDefault="00A0114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027B0" w:rsidTr="00345119">
        <w:tc>
          <w:tcPr>
            <w:tcW w:w="9576" w:type="dxa"/>
          </w:tcPr>
          <w:p w:rsidR="008423E4" w:rsidRPr="00861995" w:rsidRDefault="00A0114E" w:rsidP="00345119">
            <w:pPr>
              <w:jc w:val="right"/>
            </w:pPr>
            <w:r>
              <w:t>S.B. 683</w:t>
            </w:r>
          </w:p>
        </w:tc>
      </w:tr>
      <w:tr w:rsidR="007027B0" w:rsidTr="00345119">
        <w:tc>
          <w:tcPr>
            <w:tcW w:w="9576" w:type="dxa"/>
          </w:tcPr>
          <w:p w:rsidR="008423E4" w:rsidRPr="00861995" w:rsidRDefault="00A0114E" w:rsidP="00100754">
            <w:pPr>
              <w:jc w:val="right"/>
            </w:pPr>
            <w:r>
              <w:t xml:space="preserve">By: </w:t>
            </w:r>
            <w:r>
              <w:t>Buckingham</w:t>
            </w:r>
          </w:p>
        </w:tc>
      </w:tr>
      <w:tr w:rsidR="007027B0" w:rsidTr="00345119">
        <w:tc>
          <w:tcPr>
            <w:tcW w:w="9576" w:type="dxa"/>
          </w:tcPr>
          <w:p w:rsidR="008423E4" w:rsidRPr="00861995" w:rsidRDefault="00A0114E" w:rsidP="00345119">
            <w:pPr>
              <w:jc w:val="right"/>
            </w:pPr>
            <w:r>
              <w:t>Public Health</w:t>
            </w:r>
          </w:p>
        </w:tc>
      </w:tr>
      <w:tr w:rsidR="007027B0" w:rsidTr="00345119">
        <w:tc>
          <w:tcPr>
            <w:tcW w:w="9576" w:type="dxa"/>
          </w:tcPr>
          <w:p w:rsidR="008423E4" w:rsidRDefault="00A0114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0114E" w:rsidP="008423E4">
      <w:pPr>
        <w:tabs>
          <w:tab w:val="right" w:pos="9360"/>
        </w:tabs>
      </w:pPr>
    </w:p>
    <w:p w:rsidR="008423E4" w:rsidRDefault="00A0114E" w:rsidP="008423E4"/>
    <w:p w:rsidR="008423E4" w:rsidRDefault="00A0114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027B0" w:rsidTr="00345119">
        <w:tc>
          <w:tcPr>
            <w:tcW w:w="9576" w:type="dxa"/>
          </w:tcPr>
          <w:p w:rsidR="008423E4" w:rsidRPr="00A8133F" w:rsidRDefault="00A0114E" w:rsidP="00D076B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0114E" w:rsidP="00D076BA"/>
          <w:p w:rsidR="008423E4" w:rsidRDefault="00A0114E" w:rsidP="00D076BA">
            <w:pPr>
              <w:pStyle w:val="Header"/>
              <w:jc w:val="both"/>
            </w:pPr>
            <w:r>
              <w:t>There have been calls to update</w:t>
            </w:r>
            <w:r>
              <w:t xml:space="preserve"> provisions of</w:t>
            </w:r>
            <w:r>
              <w:t xml:space="preserve"> the </w:t>
            </w:r>
            <w:r>
              <w:t xml:space="preserve">Texas </w:t>
            </w:r>
            <w:r>
              <w:t>Pharmacy Act</w:t>
            </w:r>
            <w:r>
              <w:t xml:space="preserve"> and the Texas Controlled Substances Act</w:t>
            </w:r>
            <w:r>
              <w:t xml:space="preserve"> with regard to the licensing and regulation of pharmacists and pharmacies that are inconsistent or in conflict with each other</w:t>
            </w:r>
            <w:r>
              <w:t xml:space="preserve">. </w:t>
            </w:r>
            <w:r>
              <w:t>S</w:t>
            </w:r>
            <w:r>
              <w:t>.B. 68</w:t>
            </w:r>
            <w:r>
              <w:t>3</w:t>
            </w:r>
            <w:r>
              <w:t xml:space="preserve"> </w:t>
            </w:r>
            <w:r>
              <w:t xml:space="preserve">seeks to provide </w:t>
            </w:r>
            <w:r>
              <w:t xml:space="preserve">for </w:t>
            </w:r>
            <w:r>
              <w:t>the</w:t>
            </w:r>
            <w:r>
              <w:t>s</w:t>
            </w:r>
            <w:r>
              <w:t>e</w:t>
            </w:r>
            <w:r>
              <w:t xml:space="preserve"> update</w:t>
            </w:r>
            <w:r>
              <w:t>s</w:t>
            </w:r>
            <w:r>
              <w:t xml:space="preserve">. </w:t>
            </w:r>
          </w:p>
          <w:p w:rsidR="008423E4" w:rsidRPr="00E26B13" w:rsidRDefault="00A0114E" w:rsidP="00D076BA">
            <w:pPr>
              <w:rPr>
                <w:b/>
              </w:rPr>
            </w:pPr>
          </w:p>
        </w:tc>
      </w:tr>
      <w:tr w:rsidR="007027B0" w:rsidTr="00345119">
        <w:tc>
          <w:tcPr>
            <w:tcW w:w="9576" w:type="dxa"/>
          </w:tcPr>
          <w:p w:rsidR="0017725B" w:rsidRDefault="00A0114E" w:rsidP="00D076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0114E" w:rsidP="00D076BA">
            <w:pPr>
              <w:rPr>
                <w:b/>
                <w:u w:val="single"/>
              </w:rPr>
            </w:pPr>
          </w:p>
          <w:p w:rsidR="001B191A" w:rsidRPr="001B191A" w:rsidRDefault="00A0114E" w:rsidP="00D076BA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0114E" w:rsidP="00D076BA">
            <w:pPr>
              <w:rPr>
                <w:b/>
                <w:u w:val="single"/>
              </w:rPr>
            </w:pPr>
          </w:p>
        </w:tc>
      </w:tr>
      <w:tr w:rsidR="007027B0" w:rsidTr="00345119">
        <w:tc>
          <w:tcPr>
            <w:tcW w:w="9576" w:type="dxa"/>
          </w:tcPr>
          <w:p w:rsidR="008423E4" w:rsidRPr="00A8133F" w:rsidRDefault="00A0114E" w:rsidP="00D076B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0114E" w:rsidP="00D076BA"/>
          <w:p w:rsidR="001B191A" w:rsidRDefault="00A0114E" w:rsidP="00D076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A0114E" w:rsidP="00D076BA">
            <w:pPr>
              <w:rPr>
                <w:b/>
              </w:rPr>
            </w:pPr>
          </w:p>
        </w:tc>
      </w:tr>
      <w:tr w:rsidR="007027B0" w:rsidTr="003D4BFF">
        <w:trPr>
          <w:trHeight w:val="2070"/>
        </w:trPr>
        <w:tc>
          <w:tcPr>
            <w:tcW w:w="9576" w:type="dxa"/>
          </w:tcPr>
          <w:p w:rsidR="008423E4" w:rsidRPr="00A8133F" w:rsidRDefault="00A0114E" w:rsidP="00D076BA">
            <w:pPr>
              <w:contextualSpacing/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0114E" w:rsidP="00D076BA">
            <w:pPr>
              <w:contextualSpacing/>
            </w:pPr>
          </w:p>
          <w:p w:rsidR="00257723" w:rsidRDefault="00A0114E" w:rsidP="00D076BA">
            <w:pPr>
              <w:pStyle w:val="Header"/>
              <w:contextualSpacing/>
              <w:jc w:val="both"/>
            </w:pPr>
            <w:r>
              <w:t>S</w:t>
            </w:r>
            <w:r>
              <w:t>.B. 68</w:t>
            </w:r>
            <w:r>
              <w:t>3</w:t>
            </w:r>
            <w:r>
              <w:t xml:space="preserve"> </w:t>
            </w:r>
            <w:r>
              <w:t>a</w:t>
            </w:r>
            <w:r>
              <w:t>men</w:t>
            </w:r>
            <w:r>
              <w:t xml:space="preserve">ds </w:t>
            </w:r>
            <w:r>
              <w:t>the Health and Safety Code to</w:t>
            </w:r>
            <w:r>
              <w:t xml:space="preserve"> </w:t>
            </w:r>
            <w:r>
              <w:t>revise provisions</w:t>
            </w:r>
            <w:r>
              <w:t xml:space="preserve"> relating to the regulation </w:t>
            </w:r>
            <w:r>
              <w:t>of pharmacists and pharmacies</w:t>
            </w:r>
            <w:r>
              <w:t xml:space="preserve"> </w:t>
            </w:r>
            <w:r>
              <w:t>under the Texas</w:t>
            </w:r>
            <w:r>
              <w:t xml:space="preserve"> </w:t>
            </w:r>
            <w:r>
              <w:t>C</w:t>
            </w:r>
            <w:r>
              <w:t xml:space="preserve">ontrolled </w:t>
            </w:r>
            <w:r>
              <w:t>S</w:t>
            </w:r>
            <w:r>
              <w:t>ubstances</w:t>
            </w:r>
            <w:r>
              <w:t xml:space="preserve"> Act</w:t>
            </w:r>
            <w:r>
              <w:t xml:space="preserve"> by</w:t>
            </w:r>
            <w:r>
              <w:t>:</w:t>
            </w:r>
          </w:p>
          <w:p w:rsidR="00257723" w:rsidRDefault="00A0114E" w:rsidP="00D076BA">
            <w:pPr>
              <w:pStyle w:val="Header"/>
              <w:numPr>
                <w:ilvl w:val="0"/>
                <w:numId w:val="2"/>
              </w:numPr>
              <w:spacing w:before="120" w:after="120"/>
              <w:ind w:left="778"/>
              <w:jc w:val="both"/>
            </w:pPr>
            <w:r>
              <w:t>requir</w:t>
            </w:r>
            <w:r>
              <w:t>ing</w:t>
            </w:r>
            <w:r>
              <w:t xml:space="preserve"> </w:t>
            </w:r>
            <w:r>
              <w:t xml:space="preserve">a pharmacy that does not dispense any </w:t>
            </w:r>
            <w:r>
              <w:t xml:space="preserve">prescriptions for a Schedule II </w:t>
            </w:r>
            <w:r>
              <w:t>controlled substance during a period of seven consecutive days</w:t>
            </w:r>
            <w:r>
              <w:t xml:space="preserve"> to</w:t>
            </w:r>
            <w:r>
              <w:t xml:space="preserve"> </w:t>
            </w:r>
            <w:r w:rsidRPr="00427CDA">
              <w:t xml:space="preserve">report </w:t>
            </w:r>
            <w:r>
              <w:t xml:space="preserve">that fact </w:t>
            </w:r>
            <w:r w:rsidRPr="00427CDA">
              <w:t xml:space="preserve">to the </w:t>
            </w:r>
            <w:r>
              <w:t>Texas Stat</w:t>
            </w:r>
            <w:r>
              <w:t>e Board of Pharmacy</w:t>
            </w:r>
            <w:r w:rsidRPr="00427CDA">
              <w:t xml:space="preserve"> </w:t>
            </w:r>
            <w:r>
              <w:t>(TSBP)</w:t>
            </w:r>
            <w:r w:rsidRPr="00427CDA">
              <w:t xml:space="preserve">, unless the pharmacy has obtained a waiver or permission to delay reporting to </w:t>
            </w:r>
            <w:r>
              <w:t>the TSBP</w:t>
            </w:r>
            <w:r>
              <w:t>;</w:t>
            </w:r>
          </w:p>
          <w:p w:rsidR="009853C9" w:rsidRDefault="00A0114E" w:rsidP="00D076BA">
            <w:pPr>
              <w:pStyle w:val="Header"/>
              <w:numPr>
                <w:ilvl w:val="0"/>
                <w:numId w:val="2"/>
              </w:numPr>
              <w:spacing w:before="120" w:after="120"/>
              <w:ind w:left="778"/>
              <w:jc w:val="both"/>
            </w:pPr>
            <w:r w:rsidRPr="00704AD0">
              <w:t>includ</w:t>
            </w:r>
            <w:r>
              <w:t xml:space="preserve">ing </w:t>
            </w:r>
            <w:r>
              <w:t>as persons who the TSBP may permit to have access to certain official prescription information</w:t>
            </w:r>
            <w:r w:rsidRPr="00704AD0">
              <w:t xml:space="preserve"> a</w:t>
            </w:r>
            <w:r>
              <w:t xml:space="preserve"> pharmacist-intern </w:t>
            </w:r>
            <w:r>
              <w:t>or</w:t>
            </w:r>
            <w:r>
              <w:t xml:space="preserve"> pharm</w:t>
            </w:r>
            <w:r>
              <w:t>acy tec</w:t>
            </w:r>
            <w:r>
              <w:t>hnician trainee acting at the</w:t>
            </w:r>
            <w:r>
              <w:t xml:space="preserve"> pharmacist's</w:t>
            </w:r>
            <w:r>
              <w:t xml:space="preserve"> direction</w:t>
            </w:r>
            <w:r w:rsidRPr="001953E6">
              <w:t>, provided the access complies with applicable federal law and regulations</w:t>
            </w:r>
            <w:r>
              <w:t>,</w:t>
            </w:r>
            <w:r>
              <w:t xml:space="preserve"> </w:t>
            </w:r>
            <w:r>
              <w:t xml:space="preserve">and </w:t>
            </w:r>
            <w:r w:rsidRPr="00F3023D">
              <w:t xml:space="preserve">a practitioner inquiring about the prescribing activity of an individual to whom the practitioner has delegated prescribing </w:t>
            </w:r>
            <w:r w:rsidRPr="00F3023D">
              <w:t>authority</w:t>
            </w:r>
            <w:r>
              <w:t>;</w:t>
            </w:r>
          </w:p>
          <w:p w:rsidR="009853C9" w:rsidRDefault="00A0114E" w:rsidP="00D076BA">
            <w:pPr>
              <w:pStyle w:val="Header"/>
              <w:numPr>
                <w:ilvl w:val="0"/>
                <w:numId w:val="2"/>
              </w:numPr>
              <w:spacing w:before="120" w:after="120"/>
              <w:ind w:left="778"/>
              <w:jc w:val="both"/>
            </w:pPr>
            <w:r>
              <w:t>restrict</w:t>
            </w:r>
            <w:r>
              <w:t>ing</w:t>
            </w:r>
            <w:r>
              <w:t xml:space="preserve"> the access of</w:t>
            </w:r>
            <w:r>
              <w:t xml:space="preserve"> </w:t>
            </w:r>
            <w:r w:rsidRPr="008B1160">
              <w:t>a pharmacist or a pharmacist-intern, pharmacy technician, or pharmacy technician trainee</w:t>
            </w:r>
            <w:r>
              <w:t xml:space="preserve"> </w:t>
            </w:r>
            <w:r>
              <w:t>to</w:t>
            </w:r>
            <w:r>
              <w:t xml:space="preserve"> </w:t>
            </w:r>
            <w:r w:rsidRPr="008B1160">
              <w:t>inquir</w:t>
            </w:r>
            <w:r>
              <w:t>ies</w:t>
            </w:r>
            <w:r w:rsidRPr="008B1160">
              <w:t xml:space="preserve"> about </w:t>
            </w:r>
            <w:r>
              <w:t>certain</w:t>
            </w:r>
            <w:r w:rsidRPr="008B1160">
              <w:t xml:space="preserve"> recent prescription histor</w:t>
            </w:r>
            <w:r>
              <w:t xml:space="preserve">ies </w:t>
            </w:r>
            <w:r>
              <w:t>and provid</w:t>
            </w:r>
            <w:r>
              <w:t>ing</w:t>
            </w:r>
            <w:r>
              <w:t xml:space="preserve"> for the direct access to </w:t>
            </w:r>
            <w:r>
              <w:t xml:space="preserve">other states' </w:t>
            </w:r>
            <w:r>
              <w:t xml:space="preserve">information </w:t>
            </w:r>
            <w:r>
              <w:t xml:space="preserve">by </w:t>
            </w:r>
            <w:r>
              <w:t>these</w:t>
            </w:r>
            <w:r>
              <w:t xml:space="preserve"> professionals who are registered with </w:t>
            </w:r>
            <w:r>
              <w:t xml:space="preserve">the </w:t>
            </w:r>
            <w:r>
              <w:t>TSBP for electronic access to the information;</w:t>
            </w:r>
          </w:p>
          <w:p w:rsidR="00372012" w:rsidRDefault="00A0114E" w:rsidP="00D076BA">
            <w:pPr>
              <w:pStyle w:val="Header"/>
              <w:numPr>
                <w:ilvl w:val="0"/>
                <w:numId w:val="2"/>
              </w:numPr>
              <w:spacing w:before="120" w:after="120"/>
              <w:ind w:left="778"/>
              <w:jc w:val="both"/>
            </w:pPr>
            <w:r>
              <w:t xml:space="preserve">requiring </w:t>
            </w:r>
            <w:r>
              <w:t xml:space="preserve">a wholesale distributor to report to the TSBP </w:t>
            </w:r>
            <w:r w:rsidRPr="009A3B38">
              <w:t>distribution of all Schedules II</w:t>
            </w:r>
            <w:r>
              <w:t xml:space="preserve">, III, IV, and </w:t>
            </w:r>
            <w:r w:rsidRPr="009A3B38">
              <w:t>V controlled substances</w:t>
            </w:r>
            <w:r>
              <w:t xml:space="preserve"> </w:t>
            </w:r>
            <w:r w:rsidRPr="009A3B38">
              <w:t>by the distr</w:t>
            </w:r>
            <w:r>
              <w:t>ibutor to a person in Texas</w:t>
            </w:r>
            <w:r>
              <w:t xml:space="preserve"> and removing that reporting requirement as it relates to the Automation of Reports and Consolidated Orders System of the Federal </w:t>
            </w:r>
            <w:r w:rsidRPr="009A3B38">
              <w:t>Drug Enforcement Administration</w:t>
            </w:r>
            <w:r>
              <w:t>; and</w:t>
            </w:r>
            <w:r>
              <w:t xml:space="preserve"> </w:t>
            </w:r>
          </w:p>
          <w:p w:rsidR="003D4BFF" w:rsidRDefault="00A0114E" w:rsidP="00D076BA">
            <w:pPr>
              <w:pStyle w:val="Header"/>
              <w:numPr>
                <w:ilvl w:val="0"/>
                <w:numId w:val="2"/>
              </w:numPr>
              <w:spacing w:before="120" w:after="120"/>
              <w:ind w:left="778"/>
              <w:jc w:val="both"/>
            </w:pPr>
            <w:r>
              <w:t xml:space="preserve">changing </w:t>
            </w:r>
            <w:r w:rsidRPr="003D4BFF">
              <w:t>the required meeting frequency of the interagency prescr</w:t>
            </w:r>
            <w:r>
              <w:t xml:space="preserve">iption monitoring work </w:t>
            </w:r>
            <w:r>
              <w:t>group</w:t>
            </w:r>
            <w:r>
              <w:t xml:space="preserve"> from at least quarterly to when necessary as determined by the TSBP</w:t>
            </w:r>
            <w:r>
              <w:t>.</w:t>
            </w:r>
          </w:p>
          <w:p w:rsidR="003D4BFF" w:rsidRDefault="00A0114E" w:rsidP="00D076BA">
            <w:pPr>
              <w:pStyle w:val="Header"/>
              <w:contextualSpacing/>
              <w:jc w:val="both"/>
            </w:pPr>
          </w:p>
          <w:p w:rsidR="00C8317A" w:rsidRDefault="00A0114E" w:rsidP="00D076BA">
            <w:pPr>
              <w:pStyle w:val="Header"/>
              <w:contextualSpacing/>
              <w:jc w:val="both"/>
            </w:pPr>
            <w:r>
              <w:t>S</w:t>
            </w:r>
            <w:r>
              <w:t>.B. 68</w:t>
            </w:r>
            <w:r>
              <w:t>3</w:t>
            </w:r>
            <w:r>
              <w:t xml:space="preserve"> amends the </w:t>
            </w:r>
            <w:r>
              <w:t>Occupations</w:t>
            </w:r>
            <w:r>
              <w:t xml:space="preserve"> Code to </w:t>
            </w:r>
            <w:r>
              <w:t xml:space="preserve">authorize the issuance of a Class E pharmacy license or nonresident pharmacy license to </w:t>
            </w:r>
            <w:r w:rsidRPr="003D4BFF">
              <w:t>a</w:t>
            </w:r>
            <w:r>
              <w:t>n out-of-state</w:t>
            </w:r>
            <w:r w:rsidRPr="003D4BFF">
              <w:t xml:space="preserve"> pharmacy</w:t>
            </w:r>
            <w:r>
              <w:t xml:space="preserve"> </w:t>
            </w:r>
            <w:r w:rsidRPr="003D4BFF">
              <w:t>whose primary business is to process a prescription drug order for a patien</w:t>
            </w:r>
            <w:r>
              <w:t>t, including a patient in Texas</w:t>
            </w:r>
            <w:r>
              <w:t>,</w:t>
            </w:r>
            <w:r w:rsidRPr="003D4BFF">
              <w:t xml:space="preserve"> </w:t>
            </w:r>
            <w:r>
              <w:t xml:space="preserve">or </w:t>
            </w:r>
            <w:r w:rsidRPr="00C05D8B">
              <w:t xml:space="preserve">to </w:t>
            </w:r>
            <w:r w:rsidRPr="003D4BFF">
              <w:t>perform another pharmaceutical se</w:t>
            </w:r>
            <w:r>
              <w:t xml:space="preserve">rvice, as defined by </w:t>
            </w:r>
            <w:r>
              <w:t xml:space="preserve">TSBP </w:t>
            </w:r>
            <w:r>
              <w:t>rule.</w:t>
            </w:r>
            <w:r w:rsidRPr="003D4BFF">
              <w:t xml:space="preserve"> </w:t>
            </w:r>
            <w:r>
              <w:t xml:space="preserve">The bill repeals provisions </w:t>
            </w:r>
            <w:r>
              <w:t>relating to the designation, inspection, licensin</w:t>
            </w:r>
            <w:r>
              <w:t>g</w:t>
            </w:r>
            <w:r>
              <w:t>, and practice</w:t>
            </w:r>
            <w:r>
              <w:t xml:space="preserve"> of </w:t>
            </w:r>
            <w:r>
              <w:t xml:space="preserve">Canadian pharmacies </w:t>
            </w:r>
            <w:r>
              <w:t xml:space="preserve">and a provision prohibiting the renewal of a pharmacy license </w:t>
            </w:r>
            <w:r>
              <w:t>as a result of a certain disciplinary action taken against the</w:t>
            </w:r>
            <w:r>
              <w:t xml:space="preserve"> pharmacy's license to operate in another state</w:t>
            </w:r>
            <w:r>
              <w:t>.</w:t>
            </w:r>
          </w:p>
          <w:p w:rsidR="00C05D8B" w:rsidRDefault="00A0114E" w:rsidP="00D076BA">
            <w:pPr>
              <w:pStyle w:val="Header"/>
              <w:contextualSpacing/>
              <w:jc w:val="both"/>
            </w:pPr>
          </w:p>
          <w:p w:rsidR="00C05D8B" w:rsidRDefault="00A0114E" w:rsidP="00D076BA">
            <w:pPr>
              <w:pStyle w:val="Header"/>
              <w:contextualSpacing/>
              <w:jc w:val="both"/>
            </w:pPr>
            <w:r>
              <w:t>S.B. 683 repeals the following provisions</w:t>
            </w:r>
            <w:r>
              <w:t xml:space="preserve"> of the Occupations Code</w:t>
            </w:r>
            <w:r>
              <w:t>:</w:t>
            </w:r>
          </w:p>
          <w:p w:rsidR="00C05D8B" w:rsidRDefault="00A0114E" w:rsidP="00D076BA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554.016</w:t>
            </w:r>
          </w:p>
          <w:p w:rsidR="00C05D8B" w:rsidRDefault="00A0114E" w:rsidP="00D076BA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556.0555</w:t>
            </w:r>
          </w:p>
          <w:p w:rsidR="00C05D8B" w:rsidRDefault="00A0114E" w:rsidP="00D076BA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560.001(c)</w:t>
            </w:r>
          </w:p>
          <w:p w:rsidR="00C05D8B" w:rsidRDefault="00A0114E" w:rsidP="00D076BA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C05D8B">
              <w:t xml:space="preserve">Section </w:t>
            </w:r>
            <w:r>
              <w:t>560.0525</w:t>
            </w:r>
          </w:p>
          <w:p w:rsidR="00C05D8B" w:rsidRDefault="00A0114E" w:rsidP="00D076BA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C05D8B">
              <w:t xml:space="preserve">Section </w:t>
            </w:r>
            <w:r>
              <w:t>561.003(f)</w:t>
            </w:r>
          </w:p>
          <w:p w:rsidR="00C05D8B" w:rsidRDefault="00A0114E" w:rsidP="00D076BA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C05D8B">
              <w:t xml:space="preserve">Section </w:t>
            </w:r>
            <w:r>
              <w:t>562.101(f-1)</w:t>
            </w:r>
          </w:p>
          <w:p w:rsidR="00C05D8B" w:rsidRDefault="00A0114E" w:rsidP="00D076BA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C05D8B">
              <w:t xml:space="preserve">Section </w:t>
            </w:r>
            <w:r>
              <w:t>562.111</w:t>
            </w:r>
          </w:p>
          <w:p w:rsidR="00C05D8B" w:rsidRPr="00EF1470" w:rsidRDefault="00A0114E" w:rsidP="00D076BA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  <w:r>
              <w:t>Subchapter E, Chapter 562</w:t>
            </w:r>
          </w:p>
          <w:p w:rsidR="00EF1470" w:rsidRPr="00835628" w:rsidRDefault="00A0114E" w:rsidP="00D076BA">
            <w:pPr>
              <w:pStyle w:val="Header"/>
              <w:contextualSpacing/>
              <w:jc w:val="both"/>
              <w:rPr>
                <w:b/>
              </w:rPr>
            </w:pPr>
          </w:p>
        </w:tc>
      </w:tr>
      <w:tr w:rsidR="007027B0" w:rsidTr="00345119">
        <w:tc>
          <w:tcPr>
            <w:tcW w:w="9576" w:type="dxa"/>
          </w:tcPr>
          <w:p w:rsidR="008423E4" w:rsidRPr="00A8133F" w:rsidRDefault="00A0114E" w:rsidP="00D076B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0114E" w:rsidP="00D076BA"/>
          <w:p w:rsidR="008423E4" w:rsidRPr="003624F2" w:rsidRDefault="00A0114E" w:rsidP="00D076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0114E" w:rsidP="00D076BA">
            <w:pPr>
              <w:rPr>
                <w:b/>
              </w:rPr>
            </w:pPr>
          </w:p>
        </w:tc>
      </w:tr>
    </w:tbl>
    <w:p w:rsidR="008423E4" w:rsidRPr="00BE0E75" w:rsidRDefault="00A0114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0114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0114E">
      <w:r>
        <w:separator/>
      </w:r>
    </w:p>
  </w:endnote>
  <w:endnote w:type="continuationSeparator" w:id="0">
    <w:p w:rsidR="00000000" w:rsidRDefault="00A0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011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027B0" w:rsidTr="009C1E9A">
      <w:trPr>
        <w:cantSplit/>
      </w:trPr>
      <w:tc>
        <w:tcPr>
          <w:tcW w:w="0" w:type="pct"/>
        </w:tcPr>
        <w:p w:rsidR="00137D90" w:rsidRDefault="00A0114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0114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0114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0114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0114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027B0" w:rsidTr="009C1E9A">
      <w:trPr>
        <w:cantSplit/>
      </w:trPr>
      <w:tc>
        <w:tcPr>
          <w:tcW w:w="0" w:type="pct"/>
        </w:tcPr>
        <w:p w:rsidR="00EC379B" w:rsidRDefault="00A0114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0114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27476</w:t>
          </w:r>
        </w:p>
      </w:tc>
      <w:tc>
        <w:tcPr>
          <w:tcW w:w="2453" w:type="pct"/>
        </w:tcPr>
        <w:p w:rsidR="00EC379B" w:rsidRDefault="00A0114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19.103.906</w:t>
          </w:r>
          <w:r>
            <w:fldChar w:fldCharType="end"/>
          </w:r>
        </w:p>
      </w:tc>
    </w:tr>
    <w:tr w:rsidR="007027B0" w:rsidTr="009C1E9A">
      <w:trPr>
        <w:cantSplit/>
      </w:trPr>
      <w:tc>
        <w:tcPr>
          <w:tcW w:w="0" w:type="pct"/>
        </w:tcPr>
        <w:p w:rsidR="00EC379B" w:rsidRDefault="00A0114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0114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0114E" w:rsidP="006D504F">
          <w:pPr>
            <w:pStyle w:val="Footer"/>
            <w:rPr>
              <w:rStyle w:val="PageNumber"/>
            </w:rPr>
          </w:pPr>
        </w:p>
        <w:p w:rsidR="00EC379B" w:rsidRDefault="00A0114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027B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0114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A0114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0114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01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0114E">
      <w:r>
        <w:separator/>
      </w:r>
    </w:p>
  </w:footnote>
  <w:footnote w:type="continuationSeparator" w:id="0">
    <w:p w:rsidR="00000000" w:rsidRDefault="00A01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011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011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01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0030"/>
    <w:multiLevelType w:val="hybridMultilevel"/>
    <w:tmpl w:val="E1F64836"/>
    <w:lvl w:ilvl="0" w:tplc="822C6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64E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F03B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C8F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E68C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8297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CC81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5E2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CC69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25C6E"/>
    <w:multiLevelType w:val="hybridMultilevel"/>
    <w:tmpl w:val="46F238A6"/>
    <w:lvl w:ilvl="0" w:tplc="BAB06F9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65297E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71E822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CDE9CA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6F0F4A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BFE8CC3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AFC525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796E68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C5922F9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B0"/>
    <w:rsid w:val="007027B0"/>
    <w:rsid w:val="00A0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7996D6-2CAA-4B47-AAED-34AC27B7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34F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4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4F9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4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4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2947</Characters>
  <Application>Microsoft Office Word</Application>
  <DocSecurity>4</DocSecurity>
  <Lines>75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SB00683 (Committee Report (Unamended))</vt:lpstr>
    </vt:vector>
  </TitlesOfParts>
  <Company>State of Texas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27476</dc:subject>
  <dc:creator>State of Texas</dc:creator>
  <dc:description>SB 683 by Buckingham-(H)Public Health</dc:description>
  <cp:lastModifiedBy>Scotty Wimberley</cp:lastModifiedBy>
  <cp:revision>2</cp:revision>
  <cp:lastPrinted>2003-11-26T17:21:00Z</cp:lastPrinted>
  <dcterms:created xsi:type="dcterms:W3CDTF">2019-04-15T22:22:00Z</dcterms:created>
  <dcterms:modified xsi:type="dcterms:W3CDTF">2019-04-15T22:22:00Z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19.103.906</vt:lpwstr>
  </property>
</Properties>
</file>