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A6FB9" w:rsidTr="00345119">
        <w:tc>
          <w:tcPr>
            <w:tcW w:w="9576" w:type="dxa"/>
            <w:noWrap/>
          </w:tcPr>
          <w:p w:rsidR="008423E4" w:rsidRPr="0022177D" w:rsidRDefault="009B28C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B28CE" w:rsidP="008423E4">
      <w:pPr>
        <w:jc w:val="center"/>
      </w:pPr>
    </w:p>
    <w:p w:rsidR="008423E4" w:rsidRPr="00B31F0E" w:rsidRDefault="009B28CE" w:rsidP="008423E4"/>
    <w:p w:rsidR="008423E4" w:rsidRPr="00742794" w:rsidRDefault="009B28C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A6FB9" w:rsidTr="00345119">
        <w:tc>
          <w:tcPr>
            <w:tcW w:w="9576" w:type="dxa"/>
          </w:tcPr>
          <w:p w:rsidR="008423E4" w:rsidRPr="00861995" w:rsidRDefault="009B28CE" w:rsidP="00345119">
            <w:pPr>
              <w:jc w:val="right"/>
            </w:pPr>
            <w:r>
              <w:t>S.B. 700</w:t>
            </w:r>
          </w:p>
        </w:tc>
      </w:tr>
      <w:tr w:rsidR="000A6FB9" w:rsidTr="00345119">
        <w:tc>
          <w:tcPr>
            <w:tcW w:w="9576" w:type="dxa"/>
          </w:tcPr>
          <w:p w:rsidR="008423E4" w:rsidRPr="00861995" w:rsidRDefault="009B28CE" w:rsidP="000E6ACE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0A6FB9" w:rsidTr="00345119">
        <w:tc>
          <w:tcPr>
            <w:tcW w:w="9576" w:type="dxa"/>
          </w:tcPr>
          <w:p w:rsidR="008423E4" w:rsidRPr="00861995" w:rsidRDefault="009B28CE" w:rsidP="00345119">
            <w:pPr>
              <w:jc w:val="right"/>
            </w:pPr>
            <w:r>
              <w:t>Natural Resources</w:t>
            </w:r>
          </w:p>
        </w:tc>
      </w:tr>
      <w:tr w:rsidR="000A6FB9" w:rsidTr="00345119">
        <w:tc>
          <w:tcPr>
            <w:tcW w:w="9576" w:type="dxa"/>
          </w:tcPr>
          <w:p w:rsidR="008423E4" w:rsidRDefault="009B28C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B28CE" w:rsidP="008423E4">
      <w:pPr>
        <w:tabs>
          <w:tab w:val="right" w:pos="9360"/>
        </w:tabs>
      </w:pPr>
    </w:p>
    <w:p w:rsidR="008423E4" w:rsidRDefault="009B28CE" w:rsidP="008423E4"/>
    <w:p w:rsidR="008423E4" w:rsidRDefault="009B28C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A6FB9" w:rsidTr="00345119">
        <w:tc>
          <w:tcPr>
            <w:tcW w:w="9576" w:type="dxa"/>
          </w:tcPr>
          <w:p w:rsidR="008423E4" w:rsidRPr="00A8133F" w:rsidRDefault="009B28CE" w:rsidP="00362A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B28CE" w:rsidP="00362A3E"/>
          <w:p w:rsidR="008423E4" w:rsidRDefault="009B28CE" w:rsidP="00362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several years ago </w:t>
            </w:r>
            <w:r w:rsidRPr="00B360F5">
              <w:t xml:space="preserve">the </w:t>
            </w:r>
            <w:r>
              <w:t>l</w:t>
            </w:r>
            <w:r w:rsidRPr="00B360F5">
              <w:t xml:space="preserve">egislature transferred responsibility for rate and other economic regulation of water and wastewater utilities from the Texas Commission on Environmental Quality to the Public Utility Commission </w:t>
            </w:r>
            <w:r>
              <w:t>of Texas</w:t>
            </w:r>
            <w:r w:rsidRPr="00B360F5">
              <w:t xml:space="preserve">. </w:t>
            </w:r>
            <w:r>
              <w:t>It has been suggested that</w:t>
            </w:r>
            <w:r>
              <w:t>,</w:t>
            </w:r>
            <w:r>
              <w:t xml:space="preserve"> w</w:t>
            </w:r>
            <w:r w:rsidRPr="00B360F5">
              <w:t xml:space="preserve">hile the transfer has </w:t>
            </w:r>
            <w:r w:rsidRPr="00B360F5">
              <w:t>been successful</w:t>
            </w:r>
            <w:r>
              <w:t>,</w:t>
            </w:r>
            <w:r w:rsidRPr="00B360F5">
              <w:t xml:space="preserve"> certain improvements could be made to ensure that water utilities</w:t>
            </w:r>
            <w:r>
              <w:t xml:space="preserve"> </w:t>
            </w:r>
            <w:r w:rsidRPr="00B360F5">
              <w:t>are able to navigate the rate approval process and make needed upgrades to their system</w:t>
            </w:r>
            <w:r>
              <w:t>s</w:t>
            </w:r>
            <w:r w:rsidRPr="00B360F5">
              <w:t xml:space="preserve">. </w:t>
            </w:r>
            <w:r>
              <w:t>S</w:t>
            </w:r>
            <w:r>
              <w:t xml:space="preserve">.B. </w:t>
            </w:r>
            <w:r>
              <w:t xml:space="preserve">700 </w:t>
            </w:r>
            <w:r>
              <w:t xml:space="preserve">seeks to address this issue by setting out provisions </w:t>
            </w:r>
            <w:r w:rsidRPr="00DC1CA7">
              <w:t xml:space="preserve">relating to </w:t>
            </w:r>
            <w:r w:rsidRPr="00404B8B">
              <w:t>retail p</w:t>
            </w:r>
            <w:r w:rsidRPr="00404B8B">
              <w:t>ublic utilities that provide water or sewer service</w:t>
            </w:r>
            <w:r w:rsidRPr="00DC1CA7">
              <w:t>.</w:t>
            </w:r>
            <w:r>
              <w:t xml:space="preserve"> </w:t>
            </w:r>
          </w:p>
          <w:p w:rsidR="008423E4" w:rsidRPr="00E26B13" w:rsidRDefault="009B28CE" w:rsidP="00362A3E">
            <w:pPr>
              <w:rPr>
                <w:b/>
              </w:rPr>
            </w:pPr>
          </w:p>
        </w:tc>
      </w:tr>
      <w:tr w:rsidR="000A6FB9" w:rsidTr="00345119">
        <w:tc>
          <w:tcPr>
            <w:tcW w:w="9576" w:type="dxa"/>
          </w:tcPr>
          <w:p w:rsidR="0017725B" w:rsidRDefault="009B28CE" w:rsidP="00362A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B28CE" w:rsidP="00362A3E">
            <w:pPr>
              <w:rPr>
                <w:b/>
                <w:u w:val="single"/>
              </w:rPr>
            </w:pPr>
          </w:p>
          <w:p w:rsidR="00D90388" w:rsidRPr="00D90388" w:rsidRDefault="009B28CE" w:rsidP="00362A3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:rsidR="0017725B" w:rsidRPr="0017725B" w:rsidRDefault="009B28CE" w:rsidP="00362A3E">
            <w:pPr>
              <w:rPr>
                <w:b/>
                <w:u w:val="single"/>
              </w:rPr>
            </w:pPr>
          </w:p>
        </w:tc>
      </w:tr>
      <w:tr w:rsidR="000A6FB9" w:rsidTr="00345119">
        <w:tc>
          <w:tcPr>
            <w:tcW w:w="9576" w:type="dxa"/>
          </w:tcPr>
          <w:p w:rsidR="008423E4" w:rsidRPr="00A8133F" w:rsidRDefault="009B28CE" w:rsidP="00362A3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B28CE" w:rsidP="00362A3E"/>
          <w:p w:rsidR="008423E4" w:rsidRDefault="009B28CE" w:rsidP="00362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41F70">
              <w:t>It is the committee's opinion that rulemaking authority is expressly granted to</w:t>
            </w:r>
            <w:r>
              <w:t xml:space="preserve"> a</w:t>
            </w:r>
            <w:r w:rsidRPr="00D41F70">
              <w:t xml:space="preserve"> regulatory authority in SECTION</w:t>
            </w:r>
            <w:r>
              <w:t xml:space="preserve"> 4</w:t>
            </w:r>
            <w:r w:rsidRPr="00D41F70">
              <w:t xml:space="preserve"> of this bill</w:t>
            </w:r>
            <w:r>
              <w:t xml:space="preserve"> and</w:t>
            </w:r>
            <w:r w:rsidRPr="00D41F70">
              <w:t xml:space="preserve"> t</w:t>
            </w:r>
            <w:r w:rsidRPr="00D41F70">
              <w:t>o</w:t>
            </w:r>
            <w:r>
              <w:t xml:space="preserve"> the</w:t>
            </w:r>
            <w:r w:rsidRPr="00D41F70">
              <w:t xml:space="preserve"> Public Utility Commission of Texas</w:t>
            </w:r>
            <w:r>
              <w:t xml:space="preserve"> in SECTIONS 4, 9, and 10 </w:t>
            </w:r>
            <w:r w:rsidRPr="00D41F70">
              <w:t>of this bill.</w:t>
            </w:r>
          </w:p>
          <w:p w:rsidR="008423E4" w:rsidRPr="00E21FDC" w:rsidRDefault="009B28CE" w:rsidP="00362A3E">
            <w:pPr>
              <w:rPr>
                <w:b/>
              </w:rPr>
            </w:pPr>
          </w:p>
        </w:tc>
      </w:tr>
      <w:tr w:rsidR="000A6FB9" w:rsidTr="00345119">
        <w:tc>
          <w:tcPr>
            <w:tcW w:w="9576" w:type="dxa"/>
          </w:tcPr>
          <w:p w:rsidR="008423E4" w:rsidRPr="00A8133F" w:rsidRDefault="009B28CE" w:rsidP="00362A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B28CE" w:rsidP="00362A3E"/>
          <w:p w:rsidR="0034282A" w:rsidRDefault="009B28CE" w:rsidP="00362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700 </w:t>
            </w:r>
            <w:r>
              <w:t>amends the Water Code to change, for purposes of water rates and services, the</w:t>
            </w:r>
            <w:r>
              <w:t xml:space="preserve"> n</w:t>
            </w:r>
            <w:r>
              <w:t>umber of taps or connections that constitute</w:t>
            </w:r>
            <w:r>
              <w:t xml:space="preserve"> a utility</w:t>
            </w:r>
            <w:r>
              <w:t>,</w:t>
            </w:r>
            <w:r>
              <w:t xml:space="preserve"> as follows:</w:t>
            </w:r>
          </w:p>
          <w:p w:rsidR="0034282A" w:rsidRDefault="009B28CE" w:rsidP="00362A3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a </w:t>
            </w:r>
            <w:r>
              <w:t>C</w:t>
            </w:r>
            <w:r>
              <w:t>lass B utility from</w:t>
            </w:r>
            <w:r>
              <w:t xml:space="preserve"> a range of</w:t>
            </w:r>
            <w:r>
              <w:t xml:space="preserve"> 500 or more but fewer tha</w:t>
            </w:r>
            <w:r>
              <w:t xml:space="preserve">n 10,000 to </w:t>
            </w:r>
            <w:r>
              <w:t xml:space="preserve">a range of </w:t>
            </w:r>
            <w:r>
              <w:t>2,300 or more but fewer than 10,000</w:t>
            </w:r>
            <w:r>
              <w:t>;</w:t>
            </w:r>
            <w:r>
              <w:t xml:space="preserve"> and </w:t>
            </w:r>
          </w:p>
          <w:p w:rsidR="0034282A" w:rsidRDefault="009B28CE" w:rsidP="00362A3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>
              <w:t xml:space="preserve"> </w:t>
            </w:r>
            <w:r>
              <w:t>C</w:t>
            </w:r>
            <w:r>
              <w:t xml:space="preserve">lass C </w:t>
            </w:r>
            <w:r>
              <w:t>u</w:t>
            </w:r>
            <w:r>
              <w:t xml:space="preserve">tility from fewer than 500 </w:t>
            </w:r>
            <w:r>
              <w:t>to</w:t>
            </w:r>
            <w:r>
              <w:t xml:space="preserve"> </w:t>
            </w:r>
            <w:r>
              <w:t xml:space="preserve">a range of </w:t>
            </w:r>
            <w:r>
              <w:t>500 or more but fewer than 2,300</w:t>
            </w:r>
            <w:r>
              <w:t>.</w:t>
            </w:r>
          </w:p>
          <w:p w:rsidR="00E445EE" w:rsidRDefault="009B28CE" w:rsidP="00362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249FC" w:rsidRDefault="009B28CE" w:rsidP="00362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700 </w:t>
            </w:r>
            <w:r>
              <w:t>provide</w:t>
            </w:r>
            <w:r>
              <w:t>s</w:t>
            </w:r>
            <w:r>
              <w:t xml:space="preserve"> for a </w:t>
            </w:r>
            <w:r>
              <w:t>C</w:t>
            </w:r>
            <w:r>
              <w:t xml:space="preserve">lass D utility </w:t>
            </w:r>
            <w:r>
              <w:t>that has</w:t>
            </w:r>
            <w:r>
              <w:t xml:space="preserve"> fewer than 500 taps or connections.</w:t>
            </w:r>
          </w:p>
          <w:p w:rsidR="00AE2C31" w:rsidRDefault="009B28CE" w:rsidP="00362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E2C31" w:rsidRDefault="009B28CE" w:rsidP="00362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700</w:t>
            </w:r>
            <w:r>
              <w:t xml:space="preserve"> authorizes </w:t>
            </w:r>
            <w:r>
              <w:t>the Texas Commission on Environmental Quality (TCEQ)</w:t>
            </w:r>
            <w:r>
              <w:t xml:space="preserve">, in accordance with </w:t>
            </w:r>
            <w:r>
              <w:t>applicable</w:t>
            </w:r>
            <w:r>
              <w:t xml:space="preserve"> provisions relating to emergency and temporary orders</w:t>
            </w:r>
            <w:r>
              <w:t>, to issue emergency orders with or without a hearing to do t</w:t>
            </w:r>
            <w:r>
              <w:t>he following:</w:t>
            </w:r>
          </w:p>
          <w:p w:rsidR="00A726E1" w:rsidRDefault="009B28CE" w:rsidP="00362A3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compel a retail public utility </w:t>
            </w:r>
            <w:r w:rsidRPr="00A726E1">
              <w:t xml:space="preserve">that has obtained a certificate of public convenience and necessity to provide water or sewer service, or both, that complies with all statutory and regulatory requirements of </w:t>
            </w:r>
            <w:r>
              <w:t>TCEQ</w:t>
            </w:r>
            <w:r w:rsidRPr="00A726E1">
              <w:t xml:space="preserve"> if necessary to ensure safe dr</w:t>
            </w:r>
            <w:r w:rsidRPr="00A726E1">
              <w:t>inking water or environmental protection</w:t>
            </w:r>
            <w:r>
              <w:t>; and</w:t>
            </w:r>
          </w:p>
          <w:p w:rsidR="00A726E1" w:rsidRDefault="009B28CE" w:rsidP="00362A3E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compel </w:t>
            </w:r>
            <w:r w:rsidRPr="00A726E1">
              <w:t xml:space="preserve">a retail public utility to provide an emergency interconnection with a neighboring retail public utility for the provision of temporary water or sewer service, or both, for not more than 90 days if </w:t>
            </w:r>
            <w:r w:rsidRPr="00A726E1">
              <w:t>necessary to ensure safe drinking water or environmental protection.</w:t>
            </w:r>
          </w:p>
          <w:p w:rsidR="0020535F" w:rsidRDefault="009B28CE" w:rsidP="00362A3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A726E1" w:rsidRDefault="009B28CE" w:rsidP="00362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700 authorizes the </w:t>
            </w:r>
            <w:r>
              <w:t>Public Utility Commission of Texas (PUC)</w:t>
            </w:r>
            <w:r>
              <w:t xml:space="preserve">, on request by </w:t>
            </w:r>
            <w:r>
              <w:t>TCEQ</w:t>
            </w:r>
            <w:r>
              <w:t xml:space="preserve"> and</w:t>
            </w:r>
            <w:r>
              <w:t xml:space="preserve"> on an expedited basis, to establish reasonable compensation for the temporary service required </w:t>
            </w:r>
            <w:r>
              <w:t>fo</w:t>
            </w:r>
            <w:r>
              <w:t xml:space="preserve">r such an emergency interconnection </w:t>
            </w:r>
            <w:r>
              <w:t xml:space="preserve">and allow the retail public utility receiving the service to make a temporary adjustment to its rate structure to ensure proper payment. The bill establishes that, if an </w:t>
            </w:r>
            <w:r>
              <w:t xml:space="preserve">emergency </w:t>
            </w:r>
            <w:r>
              <w:t xml:space="preserve">order is issued without a hearing, </w:t>
            </w:r>
            <w:r>
              <w:t>certa</w:t>
            </w:r>
            <w:r>
              <w:t xml:space="preserve">in </w:t>
            </w:r>
            <w:r>
              <w:t xml:space="preserve">notice of a hearing to affirm, modify, </w:t>
            </w:r>
            <w:r w:rsidRPr="00A726E1">
              <w:t>or set aside the order is adequate if the notice is mailed or hand delivered to the last known address of the retail public utility's headquarters.</w:t>
            </w:r>
            <w:r>
              <w:t xml:space="preserve"> </w:t>
            </w:r>
          </w:p>
          <w:p w:rsidR="009C219E" w:rsidRDefault="009B28CE" w:rsidP="00362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C219E" w:rsidRDefault="009B28CE" w:rsidP="00362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700 changes the entity </w:t>
            </w:r>
            <w:r w:rsidRPr="009C219E">
              <w:t xml:space="preserve">that has obtained or is required to </w:t>
            </w:r>
            <w:r w:rsidRPr="009C219E">
              <w:t>obtain a certificate of public convenience and necessity</w:t>
            </w:r>
            <w:r>
              <w:t xml:space="preserve"> for whom the PUC may issue an emergency order to compel to </w:t>
            </w:r>
            <w:r w:rsidRPr="009C219E">
              <w:t>provide continuous and adequate water service, sewer service, or both, if the discontinuance of the service is imminent or has occurred beca</w:t>
            </w:r>
            <w:r w:rsidRPr="009C219E">
              <w:t xml:space="preserve">use of the </w:t>
            </w:r>
            <w:r>
              <w:t>entity's</w:t>
            </w:r>
            <w:r w:rsidRPr="009C219E">
              <w:t xml:space="preserve"> actions or failure to act</w:t>
            </w:r>
            <w:r>
              <w:t>,</w:t>
            </w:r>
            <w:r>
              <w:t xml:space="preserve"> from a </w:t>
            </w:r>
            <w:r w:rsidRPr="00FB7DD1">
              <w:t>water or sewer service provider</w:t>
            </w:r>
            <w:r>
              <w:t xml:space="preserve"> to a retail public utility.</w:t>
            </w:r>
          </w:p>
          <w:p w:rsidR="008249FC" w:rsidRDefault="009B28CE" w:rsidP="00362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445EE" w:rsidRDefault="009B28CE" w:rsidP="00362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700 </w:t>
            </w:r>
            <w:r>
              <w:t xml:space="preserve">requires </w:t>
            </w:r>
            <w:r>
              <w:t>the PUC</w:t>
            </w:r>
            <w:r>
              <w:t xml:space="preserve">, at the time the </w:t>
            </w:r>
            <w:r>
              <w:t>PUC</w:t>
            </w:r>
            <w:r>
              <w:t xml:space="preserve"> approves the acquisition of a nonfunctioning retail water or sewer utility service provider</w:t>
            </w:r>
            <w:r>
              <w:t xml:space="preserve"> </w:t>
            </w:r>
            <w:r>
              <w:t>under applicable provisions</w:t>
            </w:r>
            <w:r>
              <w:t xml:space="preserve">, </w:t>
            </w:r>
            <w:r>
              <w:t>to determine the duration of the temporary rates for the</w:t>
            </w:r>
            <w:r>
              <w:t xml:space="preserve"> </w:t>
            </w:r>
            <w:r w:rsidRPr="00976413">
              <w:t>acquiring</w:t>
            </w:r>
            <w:r>
              <w:t xml:space="preserve"> retail public utility, which </w:t>
            </w:r>
            <w:r>
              <w:t xml:space="preserve">must be for a reasonable period, </w:t>
            </w:r>
            <w:r>
              <w:t>and rule on the reasonableness of the temporary rates</w:t>
            </w:r>
            <w:r>
              <w:t xml:space="preserve"> if the PUC</w:t>
            </w:r>
            <w:r>
              <w:t xml:space="preserve"> did not make a ruling before the </w:t>
            </w:r>
            <w:r>
              <w:t>application</w:t>
            </w:r>
            <w:r>
              <w:t xml:space="preserve"> for the acquisition</w:t>
            </w:r>
            <w:r>
              <w:t xml:space="preserve"> was filed</w:t>
            </w:r>
            <w:r w:rsidRPr="00050FAC">
              <w:t>.</w:t>
            </w:r>
            <w:r w:rsidRPr="00050FAC">
              <w:t xml:space="preserve"> </w:t>
            </w:r>
          </w:p>
          <w:p w:rsidR="00E445EE" w:rsidRDefault="009B28CE" w:rsidP="00362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861B6" w:rsidRDefault="009B28CE" w:rsidP="00362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>700</w:t>
            </w:r>
            <w:r w:rsidRPr="00050FAC">
              <w:t xml:space="preserve"> </w:t>
            </w:r>
            <w:r w:rsidRPr="00050FAC">
              <w:t>removes</w:t>
            </w:r>
            <w:r>
              <w:t xml:space="preserve"> </w:t>
            </w:r>
            <w:r>
              <w:t xml:space="preserve">the specification that the </w:t>
            </w:r>
            <w:r>
              <w:t>specific alternative ratemaking methodologies</w:t>
            </w:r>
            <w:r>
              <w:t xml:space="preserve"> for water or sewer rates </w:t>
            </w:r>
            <w:r>
              <w:t xml:space="preserve">that a regulatory authority may adopt for purposes of </w:t>
            </w:r>
            <w:r>
              <w:t>ensur</w:t>
            </w:r>
            <w:r>
              <w:t>ing</w:t>
            </w:r>
            <w:r>
              <w:t xml:space="preserve"> that retail customers receive a h</w:t>
            </w:r>
            <w:r>
              <w:t>igher quality, more affordable, or more reliable water or sewer service, encourag</w:t>
            </w:r>
            <w:r>
              <w:t>ing</w:t>
            </w:r>
            <w:r>
              <w:t xml:space="preserve"> regionalization, or maintain</w:t>
            </w:r>
            <w:r>
              <w:t>ing</w:t>
            </w:r>
            <w:r>
              <w:t xml:space="preserve"> financially stable and technically sound utilities</w:t>
            </w:r>
            <w:r>
              <w:t xml:space="preserve"> be based on factors other than rate of return and </w:t>
            </w:r>
            <w:r>
              <w:t>t</w:t>
            </w:r>
            <w:r>
              <w:t xml:space="preserve">hose specified in </w:t>
            </w:r>
            <w:r>
              <w:t>provisions relating</w:t>
            </w:r>
            <w:r>
              <w:t xml:space="preserve"> to components of invested capital and net income</w:t>
            </w:r>
            <w:r>
              <w:t>. The bill authorizes a regulatory authori</w:t>
            </w:r>
            <w:r>
              <w:t>ty</w:t>
            </w:r>
            <w:r>
              <w:t xml:space="preserve"> </w:t>
            </w:r>
            <w:r>
              <w:t xml:space="preserve">instead </w:t>
            </w:r>
            <w:r>
              <w:t>to</w:t>
            </w:r>
            <w:r>
              <w:t xml:space="preserve"> </w:t>
            </w:r>
            <w:r>
              <w:t xml:space="preserve">adopt such methodologies </w:t>
            </w:r>
            <w:r>
              <w:t>to allow for more timely and efficient cost recovery</w:t>
            </w:r>
            <w:r>
              <w:t>.</w:t>
            </w:r>
            <w:r>
              <w:t xml:space="preserve"> The bill establishes</w:t>
            </w:r>
            <w:r>
              <w:t xml:space="preserve"> that a</w:t>
            </w:r>
            <w:r w:rsidRPr="00A405C0">
              <w:t>ppropriate alternative ratemaking methodologi</w:t>
            </w:r>
            <w:r w:rsidRPr="00A405C0">
              <w:t>es are the introduction of new customer classes, the cash needs method, and phased and multi-step rate changes</w:t>
            </w:r>
            <w:r>
              <w:t xml:space="preserve"> </w:t>
            </w:r>
            <w:r>
              <w:t xml:space="preserve">and </w:t>
            </w:r>
            <w:r>
              <w:t xml:space="preserve">authorizes </w:t>
            </w:r>
            <w:r>
              <w:t>a</w:t>
            </w:r>
            <w:r>
              <w:t xml:space="preserve"> regulatory authority to also adopt </w:t>
            </w:r>
            <w:r w:rsidRPr="00275866">
              <w:t>system improvement charges that may be periodically adjusted to ensure timely recovery of inf</w:t>
            </w:r>
            <w:r w:rsidRPr="00275866">
              <w:t>rastructure investment</w:t>
            </w:r>
            <w:r>
              <w:t xml:space="preserve">. The bill requires </w:t>
            </w:r>
            <w:r>
              <w:t>the PUC</w:t>
            </w:r>
            <w:r>
              <w:t xml:space="preserve"> </w:t>
            </w:r>
            <w:r>
              <w:t xml:space="preserve">by rule </w:t>
            </w:r>
            <w:r>
              <w:t xml:space="preserve">to establish a schedule </w:t>
            </w:r>
            <w:r w:rsidRPr="00275866">
              <w:t xml:space="preserve">that requires all utilities that have implemented a system improvement charge approved by the </w:t>
            </w:r>
            <w:r>
              <w:t>PUC</w:t>
            </w:r>
            <w:r w:rsidRPr="00275866">
              <w:t xml:space="preserve"> to make periodic filings with the </w:t>
            </w:r>
            <w:r>
              <w:t>PUC</w:t>
            </w:r>
            <w:r w:rsidRPr="00275866">
              <w:t xml:space="preserve"> to modify or review base rates charged by the utility</w:t>
            </w:r>
            <w:r>
              <w:t>.</w:t>
            </w:r>
          </w:p>
          <w:p w:rsidR="0088608D" w:rsidRDefault="009B28CE" w:rsidP="00362A3E">
            <w:pPr>
              <w:pStyle w:val="Header"/>
              <w:jc w:val="both"/>
            </w:pPr>
          </w:p>
          <w:p w:rsidR="00033897" w:rsidRDefault="009B28CE" w:rsidP="00362A3E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 xml:space="preserve">700 </w:t>
            </w:r>
            <w:r>
              <w:t xml:space="preserve">changes the number of gallons of water </w:t>
            </w:r>
            <w:r>
              <w:t xml:space="preserve">that are </w:t>
            </w:r>
            <w:r>
              <w:t xml:space="preserve">used as the basis for the billing comparison of </w:t>
            </w:r>
            <w:r>
              <w:t xml:space="preserve">a statement of intent to change rates </w:t>
            </w:r>
            <w:r>
              <w:t>for</w:t>
            </w:r>
            <w:r>
              <w:t xml:space="preserve"> </w:t>
            </w:r>
            <w:r>
              <w:t xml:space="preserve">a </w:t>
            </w:r>
            <w:r>
              <w:t>Class A utility</w:t>
            </w:r>
            <w:r>
              <w:t xml:space="preserve"> </w:t>
            </w:r>
            <w:r>
              <w:t xml:space="preserve">and </w:t>
            </w:r>
            <w:r>
              <w:t xml:space="preserve">a </w:t>
            </w:r>
            <w:r>
              <w:t>Class B utility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>ch</w:t>
            </w:r>
            <w:r>
              <w:t xml:space="preserve">anges the applicability of Class C utility rate adjustment provisions to apply </w:t>
            </w:r>
            <w:r>
              <w:t xml:space="preserve">instead </w:t>
            </w:r>
            <w:r>
              <w:t xml:space="preserve">only to </w:t>
            </w:r>
            <w:r>
              <w:t>a Class D utility</w:t>
            </w:r>
            <w:r>
              <w:t xml:space="preserve"> and </w:t>
            </w:r>
            <w:r>
              <w:t>revises the provision requiring t</w:t>
            </w:r>
            <w:r w:rsidRPr="00941B29">
              <w:t xml:space="preserve">he </w:t>
            </w:r>
            <w:r>
              <w:t>PUC</w:t>
            </w:r>
            <w:r w:rsidRPr="00941B29">
              <w:t xml:space="preserve"> by rule </w:t>
            </w:r>
            <w:r>
              <w:t>to</w:t>
            </w:r>
            <w:r w:rsidRPr="00941B29">
              <w:t xml:space="preserve"> adopt procedures to allow a utility to receive without a hearing an annual rate adjustme</w:t>
            </w:r>
            <w:r w:rsidRPr="00941B29">
              <w:t>nt</w:t>
            </w:r>
            <w:r>
              <w:t xml:space="preserve"> by removing the specification that such adjustment be based on changes in the applicable price index.</w:t>
            </w:r>
            <w:r>
              <w:t xml:space="preserve"> </w:t>
            </w:r>
            <w:r w:rsidRPr="00975050">
              <w:t>The bill prohibits a Class C utility from making changes in its rates except by complying with the procedures to change rates for a Class B utility</w:t>
            </w:r>
            <w:r>
              <w:t>. Th</w:t>
            </w:r>
            <w:r>
              <w:t xml:space="preserve">e bill authorizes a Class C utility, and a Class D utility that chooses to comply with the procedures to change rates for a Class B utility, to send by mail or email a </w:t>
            </w:r>
            <w:r>
              <w:t xml:space="preserve">required hearing </w:t>
            </w:r>
            <w:r>
              <w:t xml:space="preserve">notice </w:t>
            </w:r>
            <w:r>
              <w:t xml:space="preserve">to each ratepayer </w:t>
            </w:r>
            <w:r>
              <w:t>regarding a rate change</w:t>
            </w:r>
            <w:r>
              <w:t xml:space="preserve"> </w:t>
            </w:r>
            <w:r>
              <w:t>and authorizes the Cla</w:t>
            </w:r>
            <w:r>
              <w:t>ss C utility and Class D utility</w:t>
            </w:r>
            <w:r>
              <w:t>, in the alternative,</w:t>
            </w:r>
            <w:r>
              <w:t xml:space="preserve"> to deliver a copy of the notice to the ratepayers</w:t>
            </w:r>
            <w:r>
              <w:t xml:space="preserve">. </w:t>
            </w:r>
          </w:p>
          <w:p w:rsidR="00033897" w:rsidRDefault="009B28CE" w:rsidP="00362A3E">
            <w:pPr>
              <w:pStyle w:val="Header"/>
              <w:jc w:val="both"/>
            </w:pPr>
          </w:p>
          <w:p w:rsidR="00124F16" w:rsidRDefault="009B28CE" w:rsidP="00362A3E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 xml:space="preserve">700 </w:t>
            </w:r>
            <w:r>
              <w:t>requires the PUC, in adopting rules relating to the information required in an application for a Class C</w:t>
            </w:r>
            <w:r>
              <w:t xml:space="preserve"> utility </w:t>
            </w:r>
            <w:r>
              <w:t xml:space="preserve">or Class D utility to change rates, to </w:t>
            </w:r>
            <w:r w:rsidRPr="00976413">
              <w:t xml:space="preserve">ensure that </w:t>
            </w:r>
            <w:r>
              <w:t xml:space="preserve">a </w:t>
            </w:r>
            <w:r>
              <w:t xml:space="preserve">Class C </w:t>
            </w:r>
            <w:r>
              <w:t xml:space="preserve">utility </w:t>
            </w:r>
            <w:r>
              <w:t>or Class D utility can file a less burdensome and complex application than is required of a Class A</w:t>
            </w:r>
            <w:r>
              <w:t xml:space="preserve"> utility</w:t>
            </w:r>
            <w:r>
              <w:t xml:space="preserve"> or Class B utility.</w:t>
            </w:r>
          </w:p>
          <w:p w:rsidR="002D2153" w:rsidRPr="00362A3E" w:rsidRDefault="009B28CE" w:rsidP="00362A3E">
            <w:pPr>
              <w:pStyle w:val="Header"/>
              <w:jc w:val="both"/>
              <w:rPr>
                <w:sz w:val="22"/>
              </w:rPr>
            </w:pPr>
          </w:p>
          <w:p w:rsidR="00C97524" w:rsidRDefault="009B28CE" w:rsidP="00362A3E">
            <w:pPr>
              <w:pStyle w:val="Header"/>
              <w:jc w:val="both"/>
            </w:pPr>
            <w:r>
              <w:t>S</w:t>
            </w:r>
            <w:r>
              <w:t xml:space="preserve">.B. </w:t>
            </w:r>
            <w:r>
              <w:t xml:space="preserve">700 </w:t>
            </w:r>
            <w:r>
              <w:t xml:space="preserve">changes from </w:t>
            </w:r>
            <w:r>
              <w:t>TCEQ</w:t>
            </w:r>
            <w:r>
              <w:t xml:space="preserve"> to the PUC the entity to whom </w:t>
            </w:r>
            <w:r w:rsidRPr="00680EAF">
              <w:t>a</w:t>
            </w:r>
            <w:r w:rsidRPr="00680EAF">
              <w:t xml:space="preserve"> Class A utility may apply</w:t>
            </w:r>
            <w:r>
              <w:t xml:space="preserve"> </w:t>
            </w:r>
            <w:r w:rsidRPr="00680EAF">
              <w:t>for an amendment of a certificate of convenience and necessity held by a municipal utility district to allow the utility to have the same rights and powers under the certificate as the municipal utility district.</w:t>
            </w:r>
          </w:p>
          <w:p w:rsidR="00C97524" w:rsidRDefault="009B28CE" w:rsidP="00362A3E">
            <w:pPr>
              <w:pStyle w:val="Header"/>
              <w:jc w:val="both"/>
            </w:pPr>
          </w:p>
          <w:p w:rsidR="002D2153" w:rsidRDefault="009B28CE" w:rsidP="00362A3E">
            <w:pPr>
              <w:pStyle w:val="Header"/>
              <w:jc w:val="both"/>
            </w:pPr>
            <w:r>
              <w:t>S.B. 700 repeal</w:t>
            </w:r>
            <w:r>
              <w:t>s Section 13.1872(b), Water Code.</w:t>
            </w:r>
            <w:r>
              <w:t xml:space="preserve">  </w:t>
            </w:r>
          </w:p>
          <w:p w:rsidR="008423E4" w:rsidRPr="00835628" w:rsidRDefault="009B28CE" w:rsidP="00362A3E">
            <w:pPr>
              <w:rPr>
                <w:b/>
              </w:rPr>
            </w:pPr>
          </w:p>
        </w:tc>
      </w:tr>
      <w:tr w:rsidR="000A6FB9" w:rsidTr="00345119">
        <w:tc>
          <w:tcPr>
            <w:tcW w:w="9576" w:type="dxa"/>
          </w:tcPr>
          <w:p w:rsidR="008423E4" w:rsidRPr="00A8133F" w:rsidRDefault="009B28CE" w:rsidP="00362A3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B28CE" w:rsidP="00362A3E"/>
          <w:p w:rsidR="008423E4" w:rsidRPr="003624F2" w:rsidRDefault="009B28CE" w:rsidP="00362A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B28CE" w:rsidP="00362A3E">
            <w:pPr>
              <w:rPr>
                <w:b/>
              </w:rPr>
            </w:pPr>
          </w:p>
        </w:tc>
      </w:tr>
    </w:tbl>
    <w:p w:rsidR="008423E4" w:rsidRPr="00BE0E75" w:rsidRDefault="009B28C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B28C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28CE">
      <w:r>
        <w:separator/>
      </w:r>
    </w:p>
  </w:endnote>
  <w:endnote w:type="continuationSeparator" w:id="0">
    <w:p w:rsidR="00000000" w:rsidRDefault="009B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8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A6FB9" w:rsidTr="009C1E9A">
      <w:trPr>
        <w:cantSplit/>
      </w:trPr>
      <w:tc>
        <w:tcPr>
          <w:tcW w:w="0" w:type="pct"/>
        </w:tcPr>
        <w:p w:rsidR="00137D90" w:rsidRDefault="009B28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B28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B28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B28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B28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6FB9" w:rsidTr="009C1E9A">
      <w:trPr>
        <w:cantSplit/>
      </w:trPr>
      <w:tc>
        <w:tcPr>
          <w:tcW w:w="0" w:type="pct"/>
        </w:tcPr>
        <w:p w:rsidR="00EC379B" w:rsidRDefault="009B28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B28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28379</w:t>
          </w:r>
        </w:p>
      </w:tc>
      <w:tc>
        <w:tcPr>
          <w:tcW w:w="2453" w:type="pct"/>
        </w:tcPr>
        <w:p w:rsidR="00EC379B" w:rsidRDefault="009B28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19.108.1974</w:t>
          </w:r>
          <w:r>
            <w:fldChar w:fldCharType="end"/>
          </w:r>
        </w:p>
      </w:tc>
    </w:tr>
    <w:tr w:rsidR="000A6FB9" w:rsidTr="009C1E9A">
      <w:trPr>
        <w:cantSplit/>
      </w:trPr>
      <w:tc>
        <w:tcPr>
          <w:tcW w:w="0" w:type="pct"/>
        </w:tcPr>
        <w:p w:rsidR="00EC379B" w:rsidRDefault="009B28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B28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B28CE" w:rsidP="006D504F">
          <w:pPr>
            <w:pStyle w:val="Footer"/>
            <w:rPr>
              <w:rStyle w:val="PageNumber"/>
            </w:rPr>
          </w:pPr>
        </w:p>
        <w:p w:rsidR="00EC379B" w:rsidRDefault="009B28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6FB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B28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9B28C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B28C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28CE">
      <w:r>
        <w:separator/>
      </w:r>
    </w:p>
  </w:footnote>
  <w:footnote w:type="continuationSeparator" w:id="0">
    <w:p w:rsidR="00000000" w:rsidRDefault="009B2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2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6C67"/>
    <w:multiLevelType w:val="hybridMultilevel"/>
    <w:tmpl w:val="E1088E16"/>
    <w:lvl w:ilvl="0" w:tplc="BDAE5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542D16A" w:tentative="1">
      <w:start w:val="1"/>
      <w:numFmt w:val="lowerLetter"/>
      <w:lvlText w:val="%2."/>
      <w:lvlJc w:val="left"/>
      <w:pPr>
        <w:ind w:left="1440" w:hanging="360"/>
      </w:pPr>
    </w:lvl>
    <w:lvl w:ilvl="2" w:tplc="7B12CE14" w:tentative="1">
      <w:start w:val="1"/>
      <w:numFmt w:val="lowerRoman"/>
      <w:lvlText w:val="%3."/>
      <w:lvlJc w:val="right"/>
      <w:pPr>
        <w:ind w:left="2160" w:hanging="180"/>
      </w:pPr>
    </w:lvl>
    <w:lvl w:ilvl="3" w:tplc="5BD0A5CE" w:tentative="1">
      <w:start w:val="1"/>
      <w:numFmt w:val="decimal"/>
      <w:lvlText w:val="%4."/>
      <w:lvlJc w:val="left"/>
      <w:pPr>
        <w:ind w:left="2880" w:hanging="360"/>
      </w:pPr>
    </w:lvl>
    <w:lvl w:ilvl="4" w:tplc="8030359A" w:tentative="1">
      <w:start w:val="1"/>
      <w:numFmt w:val="lowerLetter"/>
      <w:lvlText w:val="%5."/>
      <w:lvlJc w:val="left"/>
      <w:pPr>
        <w:ind w:left="3600" w:hanging="360"/>
      </w:pPr>
    </w:lvl>
    <w:lvl w:ilvl="5" w:tplc="D662E894" w:tentative="1">
      <w:start w:val="1"/>
      <w:numFmt w:val="lowerRoman"/>
      <w:lvlText w:val="%6."/>
      <w:lvlJc w:val="right"/>
      <w:pPr>
        <w:ind w:left="4320" w:hanging="180"/>
      </w:pPr>
    </w:lvl>
    <w:lvl w:ilvl="6" w:tplc="220ECC0C" w:tentative="1">
      <w:start w:val="1"/>
      <w:numFmt w:val="decimal"/>
      <w:lvlText w:val="%7."/>
      <w:lvlJc w:val="left"/>
      <w:pPr>
        <w:ind w:left="5040" w:hanging="360"/>
      </w:pPr>
    </w:lvl>
    <w:lvl w:ilvl="7" w:tplc="6902F7F8" w:tentative="1">
      <w:start w:val="1"/>
      <w:numFmt w:val="lowerLetter"/>
      <w:lvlText w:val="%8."/>
      <w:lvlJc w:val="left"/>
      <w:pPr>
        <w:ind w:left="5760" w:hanging="360"/>
      </w:pPr>
    </w:lvl>
    <w:lvl w:ilvl="8" w:tplc="8D520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635A"/>
    <w:multiLevelType w:val="hybridMultilevel"/>
    <w:tmpl w:val="9A287B7E"/>
    <w:lvl w:ilvl="0" w:tplc="CD9C8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2C8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6AB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8F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45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227D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A6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89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492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36764"/>
    <w:multiLevelType w:val="hybridMultilevel"/>
    <w:tmpl w:val="58FC4F96"/>
    <w:lvl w:ilvl="0" w:tplc="D41A8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85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81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66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2B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62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03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0C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07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B9"/>
    <w:rsid w:val="000A6FB9"/>
    <w:rsid w:val="009B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F34FC5-75A0-469E-AFBD-3F88AE8D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E27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2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27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2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27A2"/>
    <w:rPr>
      <w:b/>
      <w:bCs/>
    </w:rPr>
  </w:style>
  <w:style w:type="character" w:styleId="Hyperlink">
    <w:name w:val="Hyperlink"/>
    <w:basedOn w:val="DefaultParagraphFont"/>
    <w:unhideWhenUsed/>
    <w:rsid w:val="00D214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2147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5A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5878</Characters>
  <Application>Microsoft Office Word</Application>
  <DocSecurity>4</DocSecurity>
  <Lines>119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SB00700 (Committee Report (Unamended))</vt:lpstr>
    </vt:vector>
  </TitlesOfParts>
  <Company>State of Texas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28379</dc:subject>
  <dc:creator>State of Texas</dc:creator>
  <dc:description>SB 700 by Nichols-(H)Natural Resources</dc:description>
  <cp:lastModifiedBy>Scotty Wimberley</cp:lastModifiedBy>
  <cp:revision>2</cp:revision>
  <cp:lastPrinted>2003-11-26T17:21:00Z</cp:lastPrinted>
  <dcterms:created xsi:type="dcterms:W3CDTF">2019-04-24T01:44:00Z</dcterms:created>
  <dcterms:modified xsi:type="dcterms:W3CDTF">2019-04-24T01:44:00Z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19.108.1974</vt:lpwstr>
  </property>
</Properties>
</file>