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1" w:rsidRDefault="00FC39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18D96603EA44EBEB923030BD757549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C3961" w:rsidRPr="00585C31" w:rsidRDefault="00FC3961" w:rsidP="000F1DF9">
      <w:pPr>
        <w:spacing w:after="0" w:line="240" w:lineRule="auto"/>
        <w:rPr>
          <w:rFonts w:cs="Times New Roman"/>
          <w:szCs w:val="24"/>
        </w:rPr>
      </w:pPr>
    </w:p>
    <w:p w:rsidR="00FC3961" w:rsidRPr="00585C31" w:rsidRDefault="00FC39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C3961" w:rsidTr="000F1DF9">
        <w:tc>
          <w:tcPr>
            <w:tcW w:w="2718" w:type="dxa"/>
          </w:tcPr>
          <w:p w:rsidR="00FC3961" w:rsidRPr="005C2A78" w:rsidRDefault="00FC39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5072103C38F4B53805D8C917B0F553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C3961" w:rsidRPr="00FF6471" w:rsidRDefault="00FC39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7F1A289AEB042A5A6C282BE6EF317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719</w:t>
                </w:r>
              </w:sdtContent>
            </w:sdt>
          </w:p>
        </w:tc>
      </w:tr>
      <w:tr w:rsidR="00FC39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2047ABFBBFB4AF487E1166823DFE175"/>
            </w:placeholder>
          </w:sdtPr>
          <w:sdtContent>
            <w:tc>
              <w:tcPr>
                <w:tcW w:w="2718" w:type="dxa"/>
              </w:tcPr>
              <w:p w:rsidR="00FC3961" w:rsidRPr="000F1DF9" w:rsidRDefault="00FC396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86R3222 AJZ-D</w:t>
                </w:r>
              </w:p>
            </w:tc>
          </w:sdtContent>
        </w:sdt>
        <w:tc>
          <w:tcPr>
            <w:tcW w:w="6858" w:type="dxa"/>
          </w:tcPr>
          <w:p w:rsidR="00FC3961" w:rsidRPr="005C2A78" w:rsidRDefault="00FC396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E99119FD73B470DA3028C80F1856D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A4C363B2EEE4CA9993B8A511CA354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0CC1A11DB8342EFA9065106C78285F7"/>
                </w:placeholder>
                <w:showingPlcHdr/>
              </w:sdtPr>
              <w:sdtContent/>
            </w:sdt>
          </w:p>
        </w:tc>
      </w:tr>
      <w:tr w:rsidR="00FC3961" w:rsidTr="000F1DF9">
        <w:tc>
          <w:tcPr>
            <w:tcW w:w="2718" w:type="dxa"/>
          </w:tcPr>
          <w:p w:rsidR="00FC3961" w:rsidRPr="00BC7495" w:rsidRDefault="00FC39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EDDB1B6E64043A9A2BF59E144CBA137"/>
            </w:placeholder>
          </w:sdtPr>
          <w:sdtContent>
            <w:tc>
              <w:tcPr>
                <w:tcW w:w="6858" w:type="dxa"/>
              </w:tcPr>
              <w:p w:rsidR="00FC3961" w:rsidRPr="00FF6471" w:rsidRDefault="00FC39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FC3961" w:rsidTr="000F1DF9">
        <w:tc>
          <w:tcPr>
            <w:tcW w:w="2718" w:type="dxa"/>
          </w:tcPr>
          <w:p w:rsidR="00FC3961" w:rsidRPr="00BC7495" w:rsidRDefault="00FC39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6A2500AD7C24F8F82BAABECF1D5596D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C3961" w:rsidRPr="00FF6471" w:rsidRDefault="00FC39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FC3961" w:rsidTr="000F1DF9">
        <w:tc>
          <w:tcPr>
            <w:tcW w:w="2718" w:type="dxa"/>
          </w:tcPr>
          <w:p w:rsidR="00FC3961" w:rsidRPr="00BC7495" w:rsidRDefault="00FC39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2019B7E43DA4E3D9836374911244602"/>
            </w:placeholder>
          </w:sdtPr>
          <w:sdtContent>
            <w:tc>
              <w:tcPr>
                <w:tcW w:w="6858" w:type="dxa"/>
              </w:tcPr>
              <w:p w:rsidR="00FC3961" w:rsidRPr="00FF6471" w:rsidRDefault="00FC39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C3961" w:rsidRPr="00FF6471" w:rsidRDefault="00FC3961" w:rsidP="000F1DF9">
      <w:pPr>
        <w:spacing w:after="0" w:line="240" w:lineRule="auto"/>
        <w:rPr>
          <w:rFonts w:cs="Times New Roman"/>
          <w:szCs w:val="24"/>
        </w:rPr>
      </w:pPr>
    </w:p>
    <w:p w:rsidR="00FC3961" w:rsidRPr="00FF6471" w:rsidRDefault="00FC3961" w:rsidP="000F1DF9">
      <w:pPr>
        <w:spacing w:after="0" w:line="240" w:lineRule="auto"/>
        <w:rPr>
          <w:rFonts w:cs="Times New Roman"/>
          <w:szCs w:val="24"/>
        </w:rPr>
      </w:pPr>
    </w:p>
    <w:p w:rsidR="00FC3961" w:rsidRPr="00FF6471" w:rsidRDefault="00FC39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61B14E8C0C74E2B92B044A844BAAB81"/>
        </w:placeholder>
      </w:sdtPr>
      <w:sdtContent>
        <w:p w:rsidR="00FC3961" w:rsidRDefault="00FC39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0A7FDC9A1F3446996446EB53CD42DCC"/>
        </w:placeholder>
      </w:sdtPr>
      <w:sdtContent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rFonts w:eastAsia="Times New Roman"/>
              <w:bCs/>
            </w:rPr>
          </w:pPr>
        </w:p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>
            <w:rPr>
              <w:color w:val="000000"/>
            </w:rPr>
            <w:t>Thirteen-</w:t>
          </w:r>
          <w:r w:rsidRPr="00D1074C">
            <w:rPr>
              <w:color w:val="000000"/>
            </w:rPr>
            <w:t>year-old Lauren Landavazo was shot and killed walking home from McNiel Middle S</w:t>
          </w:r>
          <w:r>
            <w:rPr>
              <w:color w:val="000000"/>
            </w:rPr>
            <w:t xml:space="preserve">chool in Wichita Falls on September </w:t>
          </w:r>
          <w:r w:rsidRPr="00D1074C">
            <w:rPr>
              <w:color w:val="000000"/>
            </w:rPr>
            <w:t>2, 2016. Found guilty of her murder by a Fort Worth jury two years later, 22-year-old Kody Lott was sentenced to life in prison for murder, pl</w:t>
          </w:r>
          <w:r>
            <w:rPr>
              <w:color w:val="000000"/>
            </w:rPr>
            <w:t>us an additional 20</w:t>
          </w:r>
          <w:r>
            <w:rPr>
              <w:color w:val="000000"/>
            </w:rPr>
            <w:noBreakHyphen/>
          </w:r>
          <w:r w:rsidRPr="00D1074C">
            <w:rPr>
              <w:color w:val="000000"/>
            </w:rPr>
            <w:t>year sentence for aggravated assault with a deadly weapon of Makayla Smith in the same shooting.</w:t>
          </w: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</w:p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 w:rsidRPr="00D1074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1074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1074C">
            <w:rPr>
              <w:color w:val="000000"/>
            </w:rPr>
            <w:t xml:space="preserve"> 719 will be known as "Lauren's Law" in her memory.</w:t>
          </w: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</w:p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 w:rsidRPr="00D1074C">
            <w:rPr>
              <w:color w:val="000000"/>
            </w:rPr>
            <w:t>Bill Purpose:</w:t>
          </w: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</w:p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 w:rsidRPr="00D1074C">
            <w:rPr>
              <w:color w:val="000000"/>
            </w:rPr>
            <w:t>Under current law, perpetrators of crimes against victim</w:t>
          </w:r>
          <w:r>
            <w:rPr>
              <w:color w:val="000000"/>
            </w:rPr>
            <w:t>s aged 11–</w:t>
          </w:r>
          <w:r w:rsidRPr="00D1074C">
            <w:rPr>
              <w:color w:val="000000"/>
            </w:rPr>
            <w:t>14 ar</w:t>
          </w:r>
          <w:r>
            <w:rPr>
              <w:color w:val="000000"/>
            </w:rPr>
            <w:t>e charged with first</w:t>
          </w:r>
          <w:r>
            <w:rPr>
              <w:color w:val="000000"/>
            </w:rPr>
            <w:noBreakHyphen/>
          </w:r>
          <w:r w:rsidRPr="00D1074C">
            <w:rPr>
              <w:color w:val="000000"/>
            </w:rPr>
            <w:t>degree felony murder. S</w:t>
          </w:r>
          <w:r>
            <w:rPr>
              <w:color w:val="000000"/>
            </w:rPr>
            <w:t>.</w:t>
          </w:r>
          <w:r w:rsidRPr="00D1074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1074C">
            <w:rPr>
              <w:color w:val="000000"/>
            </w:rPr>
            <w:t xml:space="preserve"> 719 would move the age of victim for which a suspect can be prosecuted for a capital felony from under age 10 to</w:t>
          </w:r>
          <w:r>
            <w:rPr>
              <w:color w:val="000000"/>
            </w:rPr>
            <w:t xml:space="preserve"> under</w:t>
          </w:r>
          <w:r w:rsidRPr="00D1074C">
            <w:rPr>
              <w:color w:val="000000"/>
            </w:rPr>
            <w:t xml:space="preserve"> the age of 1</w:t>
          </w:r>
          <w:r>
            <w:rPr>
              <w:color w:val="000000"/>
            </w:rPr>
            <w:t>5. The difference between first</w:t>
          </w:r>
          <w:r>
            <w:rPr>
              <w:color w:val="000000"/>
            </w:rPr>
            <w:noBreakHyphen/>
          </w:r>
          <w:r w:rsidRPr="00D1074C">
            <w:rPr>
              <w:color w:val="000000"/>
            </w:rPr>
            <w:t>degree murder and a capital offense is the range of punishment.</w:t>
          </w: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</w:p>
        <w:p w:rsidR="00FC3961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 w:rsidRPr="00D1074C">
            <w:rPr>
              <w:color w:val="000000"/>
            </w:rPr>
            <w:t>People convicted of first-degree felonies in Te</w:t>
          </w:r>
          <w:r>
            <w:rPr>
              <w:color w:val="000000"/>
            </w:rPr>
            <w:t>xas face a punishment range of five</w:t>
          </w:r>
          <w:r w:rsidRPr="00D1074C">
            <w:rPr>
              <w:color w:val="000000"/>
            </w:rPr>
            <w:t xml:space="preserve"> to 99 years, or life, in prison; they are eligible for parole after serving half their sentence or 30 years, whichever is less. Adults found guilty of a capital felony in Texa</w:t>
          </w:r>
          <w:r>
            <w:rPr>
              <w:color w:val="000000"/>
            </w:rPr>
            <w:t xml:space="preserve">s face one of two punishments: </w:t>
          </w:r>
          <w:r w:rsidRPr="00D1074C">
            <w:rPr>
              <w:color w:val="000000"/>
            </w:rPr>
            <w:t>the death penalty or life without parole.</w:t>
          </w: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</w:p>
        <w:p w:rsidR="00FC3961" w:rsidRPr="00D1074C" w:rsidRDefault="00FC3961" w:rsidP="00FC3961">
          <w:pPr>
            <w:pStyle w:val="NormalWeb"/>
            <w:spacing w:before="0" w:beforeAutospacing="0" w:after="0" w:afterAutospacing="0"/>
            <w:jc w:val="both"/>
            <w:divId w:val="1495220364"/>
            <w:rPr>
              <w:color w:val="000000"/>
            </w:rPr>
          </w:pPr>
          <w:r>
            <w:rPr>
              <w:color w:val="000000"/>
            </w:rPr>
            <w:t>The terrible murder of 13-year-</w:t>
          </w:r>
          <w:r w:rsidRPr="00D1074C">
            <w:rPr>
              <w:color w:val="000000"/>
            </w:rPr>
            <w:t>old Lauren Landavazo in 2016 was obviously an unspeakable tragedy for her family, friends, and the Wichita Falls community. While I am glad that her killer was brought to justice and handed the maximum sentence allowed under state law, this terrible act should be treated as t</w:t>
          </w:r>
          <w:r>
            <w:rPr>
              <w:color w:val="000000"/>
            </w:rPr>
            <w:t>he egregious crime that it is—capital murder—</w:t>
          </w:r>
          <w:r w:rsidRPr="00D1074C">
            <w:rPr>
              <w:color w:val="000000"/>
            </w:rPr>
            <w:t>and thus eligible only for life without parole or the death penalty. Texas needs an additional deterrent to protect children like Lauren.</w:t>
          </w:r>
        </w:p>
        <w:p w:rsidR="00FC3961" w:rsidRPr="00D70925" w:rsidRDefault="00FC3961" w:rsidP="00FC396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C3961" w:rsidRDefault="00FC39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719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prosecution of the offense of capital murder.</w:t>
      </w:r>
    </w:p>
    <w:p w:rsidR="00FC3961" w:rsidRPr="00D1074C" w:rsidRDefault="00FC39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3961" w:rsidRPr="005C2A78" w:rsidRDefault="00FC39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A8D164D05CA429FB867CA883609B49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C3961" w:rsidRPr="006529C4" w:rsidRDefault="00FC39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C3961" w:rsidRPr="006529C4" w:rsidRDefault="00FC39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C3961" w:rsidRPr="006529C4" w:rsidRDefault="00FC39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C3961" w:rsidRPr="00FC3961" w:rsidRDefault="00FC3961" w:rsidP="00FC3961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C9CC61282A243B79E74ABC5CEDA27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C3961" w:rsidRPr="005C2A78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Requires this Act to be known as Lauren's Law. </w:t>
      </w:r>
    </w:p>
    <w:p w:rsidR="00FC3961" w:rsidRPr="005C2A78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3961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19.03(a), Penal Code, as follows: </w:t>
      </w:r>
    </w:p>
    <w:p w:rsidR="00FC3961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3961" w:rsidRPr="005C2A78" w:rsidRDefault="00FC3961" w:rsidP="00FC39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a </w:t>
      </w:r>
      <w:r w:rsidRPr="00D1074C">
        <w:rPr>
          <w:rFonts w:eastAsia="Times New Roman" w:cs="Times New Roman"/>
          <w:szCs w:val="24"/>
        </w:rPr>
        <w:t>person commits an offense if the person commits murder as defined under Section 19.02(b)(1)</w:t>
      </w:r>
      <w:r>
        <w:rPr>
          <w:rFonts w:eastAsia="Times New Roman" w:cs="Times New Roman"/>
          <w:szCs w:val="24"/>
        </w:rPr>
        <w:t xml:space="preserve"> (relating to a person committing an offense if the person </w:t>
      </w:r>
      <w:r w:rsidRPr="00D1074C">
        <w:rPr>
          <w:rFonts w:eastAsia="Times New Roman" w:cs="Times New Roman"/>
          <w:szCs w:val="24"/>
        </w:rPr>
        <w:t>intentionally or knowingly causes the death of an individual</w:t>
      </w:r>
      <w:r>
        <w:rPr>
          <w:rFonts w:eastAsia="Times New Roman" w:cs="Times New Roman"/>
          <w:szCs w:val="24"/>
        </w:rPr>
        <w:t xml:space="preserve">) and </w:t>
      </w:r>
      <w:r w:rsidRPr="00D1074C">
        <w:rPr>
          <w:rFonts w:eastAsia="Times New Roman" w:cs="Times New Roman"/>
          <w:szCs w:val="24"/>
        </w:rPr>
        <w:t xml:space="preserve">the person </w:t>
      </w:r>
      <w:r>
        <w:rPr>
          <w:rFonts w:eastAsia="Times New Roman" w:cs="Times New Roman"/>
          <w:szCs w:val="24"/>
        </w:rPr>
        <w:t>murders an individual under 15 years of age, rather than under 10</w:t>
      </w:r>
      <w:r w:rsidRPr="00D1074C">
        <w:rPr>
          <w:rFonts w:eastAsia="Times New Roman" w:cs="Times New Roman"/>
          <w:szCs w:val="24"/>
        </w:rPr>
        <w:t xml:space="preserve"> years of age</w:t>
      </w:r>
      <w:r>
        <w:rPr>
          <w:rFonts w:eastAsia="Times New Roman" w:cs="Times New Roman"/>
          <w:szCs w:val="24"/>
        </w:rPr>
        <w:t xml:space="preserve">. </w:t>
      </w:r>
    </w:p>
    <w:p w:rsidR="00FC3961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3961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this Act prospective. Provides that an </w:t>
      </w:r>
      <w:r w:rsidRPr="00D1074C">
        <w:rPr>
          <w:rFonts w:eastAsia="Times New Roman" w:cs="Times New Roman"/>
          <w:szCs w:val="24"/>
        </w:rPr>
        <w:t>offense committed before the effective date of this Act is governed by the law in effect on the date the offense was committed, and the former law is continu</w:t>
      </w:r>
      <w:r>
        <w:rPr>
          <w:rFonts w:eastAsia="Times New Roman" w:cs="Times New Roman"/>
          <w:szCs w:val="24"/>
        </w:rPr>
        <w:t>ed in effect for that purpose. Provides that f</w:t>
      </w:r>
      <w:r w:rsidRPr="00D1074C">
        <w:rPr>
          <w:rFonts w:eastAsia="Times New Roman" w:cs="Times New Roman"/>
          <w:szCs w:val="24"/>
        </w:rPr>
        <w:t>or purposes of this section, an offense was committed before the effective date of this Act if any element of the offense occurred before that date.</w:t>
      </w:r>
    </w:p>
    <w:p w:rsidR="00FC3961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3961" w:rsidRPr="00C8671F" w:rsidRDefault="00FC3961" w:rsidP="00FC396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FC396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88" w:rsidRDefault="00294C88" w:rsidP="000F1DF9">
      <w:pPr>
        <w:spacing w:after="0" w:line="240" w:lineRule="auto"/>
      </w:pPr>
      <w:r>
        <w:separator/>
      </w:r>
    </w:p>
  </w:endnote>
  <w:endnote w:type="continuationSeparator" w:id="0">
    <w:p w:rsidR="00294C88" w:rsidRDefault="00294C8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94C8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C3961">
                <w:rPr>
                  <w:sz w:val="20"/>
                  <w:szCs w:val="20"/>
                </w:rPr>
                <w:t>KNS,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C3961">
                <w:rPr>
                  <w:sz w:val="20"/>
                  <w:szCs w:val="20"/>
                </w:rPr>
                <w:t>S.B. 719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C396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94C8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C396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C396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88" w:rsidRDefault="00294C88" w:rsidP="000F1DF9">
      <w:pPr>
        <w:spacing w:after="0" w:line="240" w:lineRule="auto"/>
      </w:pPr>
      <w:r>
        <w:separator/>
      </w:r>
    </w:p>
  </w:footnote>
  <w:footnote w:type="continuationSeparator" w:id="0">
    <w:p w:rsidR="00294C88" w:rsidRDefault="00294C8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94C8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3961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1F2A"/>
  <w15:docId w15:val="{B371508B-85BD-45A0-8B9B-57ED906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39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34B77" w:rsidP="00134B7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18D96603EA44EBEB923030BD757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FD3C-4C51-477E-887C-13D1A679BE57}"/>
      </w:docPartPr>
      <w:docPartBody>
        <w:p w:rsidR="00000000" w:rsidRDefault="007875EC"/>
      </w:docPartBody>
    </w:docPart>
    <w:docPart>
      <w:docPartPr>
        <w:name w:val="F5072103C38F4B53805D8C917B0F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A658-B39B-4BAF-B3B4-51C7AEC6FA13}"/>
      </w:docPartPr>
      <w:docPartBody>
        <w:p w:rsidR="00000000" w:rsidRDefault="007875EC"/>
      </w:docPartBody>
    </w:docPart>
    <w:docPart>
      <w:docPartPr>
        <w:name w:val="27F1A289AEB042A5A6C282BE6EF3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9FCA-BAA7-457A-A343-C271D6996AD7}"/>
      </w:docPartPr>
      <w:docPartBody>
        <w:p w:rsidR="00000000" w:rsidRDefault="007875EC"/>
      </w:docPartBody>
    </w:docPart>
    <w:docPart>
      <w:docPartPr>
        <w:name w:val="F2047ABFBBFB4AF487E1166823DF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8C60-2348-49D1-8056-B86F37C47D5B}"/>
      </w:docPartPr>
      <w:docPartBody>
        <w:p w:rsidR="00000000" w:rsidRDefault="007875EC"/>
      </w:docPartBody>
    </w:docPart>
    <w:docPart>
      <w:docPartPr>
        <w:name w:val="FE99119FD73B470DA3028C80F185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718D-7231-421C-83B8-94D2B29F24BD}"/>
      </w:docPartPr>
      <w:docPartBody>
        <w:p w:rsidR="00000000" w:rsidRDefault="007875EC"/>
      </w:docPartBody>
    </w:docPart>
    <w:docPart>
      <w:docPartPr>
        <w:name w:val="5A4C363B2EEE4CA9993B8A511CA3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CED6-0BC5-4503-8EE4-171A9634EC78}"/>
      </w:docPartPr>
      <w:docPartBody>
        <w:p w:rsidR="00000000" w:rsidRDefault="007875EC"/>
      </w:docPartBody>
    </w:docPart>
    <w:docPart>
      <w:docPartPr>
        <w:name w:val="40CC1A11DB8342EFA9065106C782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CFCF-A5DC-4080-80ED-524BEA698AF6}"/>
      </w:docPartPr>
      <w:docPartBody>
        <w:p w:rsidR="00000000" w:rsidRDefault="007875EC"/>
      </w:docPartBody>
    </w:docPart>
    <w:docPart>
      <w:docPartPr>
        <w:name w:val="7EDDB1B6E64043A9A2BF59E144CB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4FA8-F390-4607-A3C2-CD2DEADDEA53}"/>
      </w:docPartPr>
      <w:docPartBody>
        <w:p w:rsidR="00000000" w:rsidRDefault="007875EC"/>
      </w:docPartBody>
    </w:docPart>
    <w:docPart>
      <w:docPartPr>
        <w:name w:val="96A2500AD7C24F8F82BAABECF1D5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1292-FD77-46BF-9100-F762A2246784}"/>
      </w:docPartPr>
      <w:docPartBody>
        <w:p w:rsidR="00000000" w:rsidRDefault="00134B77" w:rsidP="00134B77">
          <w:pPr>
            <w:pStyle w:val="96A2500AD7C24F8F82BAABECF1D5596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2019B7E43DA4E3D983637491124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C3F9-4100-4B25-BB2F-194D06645225}"/>
      </w:docPartPr>
      <w:docPartBody>
        <w:p w:rsidR="00000000" w:rsidRDefault="007875EC"/>
      </w:docPartBody>
    </w:docPart>
    <w:docPart>
      <w:docPartPr>
        <w:name w:val="761B14E8C0C74E2B92B044A844BA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A49E-FC1F-416B-A249-2A54454478AF}"/>
      </w:docPartPr>
      <w:docPartBody>
        <w:p w:rsidR="00000000" w:rsidRDefault="007875EC"/>
      </w:docPartBody>
    </w:docPart>
    <w:docPart>
      <w:docPartPr>
        <w:name w:val="90A7FDC9A1F3446996446EB53CD4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D2B2-1986-4878-A490-46B5188E61D4}"/>
      </w:docPartPr>
      <w:docPartBody>
        <w:p w:rsidR="00000000" w:rsidRDefault="00134B77" w:rsidP="00134B77">
          <w:pPr>
            <w:pStyle w:val="90A7FDC9A1F3446996446EB53CD42DC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A8D164D05CA429FB867CA883609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15B5-804A-47ED-80D7-4D59B52647B1}"/>
      </w:docPartPr>
      <w:docPartBody>
        <w:p w:rsidR="00000000" w:rsidRDefault="007875EC"/>
      </w:docPartBody>
    </w:docPart>
    <w:docPart>
      <w:docPartPr>
        <w:name w:val="6C9CC61282A243B79E74ABC5CEDA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7344-CB0C-4665-9CD1-0BDADAC69C5E}"/>
      </w:docPartPr>
      <w:docPartBody>
        <w:p w:rsidR="00000000" w:rsidRDefault="007875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4B7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75E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34B7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34B7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34B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6A2500AD7C24F8F82BAABECF1D5596D">
    <w:name w:val="96A2500AD7C24F8F82BAABECF1D5596D"/>
    <w:rsid w:val="00134B77"/>
    <w:pPr>
      <w:spacing w:after="160" w:line="259" w:lineRule="auto"/>
    </w:pPr>
  </w:style>
  <w:style w:type="paragraph" w:customStyle="1" w:styleId="90A7FDC9A1F3446996446EB53CD42DCC">
    <w:name w:val="90A7FDC9A1F3446996446EB53CD42DCC"/>
    <w:rsid w:val="00134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7E5B926-1547-4990-A982-D2BCEBA9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448</Words>
  <Characters>2560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2019-03-31T21:32:00Z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