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33FF" w:rsidTr="00345119">
        <w:tc>
          <w:tcPr>
            <w:tcW w:w="9576" w:type="dxa"/>
            <w:noWrap/>
          </w:tcPr>
          <w:p w:rsidR="008423E4" w:rsidRPr="0022177D" w:rsidRDefault="00EB39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396B" w:rsidP="008423E4">
      <w:pPr>
        <w:jc w:val="center"/>
      </w:pPr>
    </w:p>
    <w:p w:rsidR="008423E4" w:rsidRPr="00B31F0E" w:rsidRDefault="00EB396B" w:rsidP="008423E4"/>
    <w:p w:rsidR="008423E4" w:rsidRPr="00742794" w:rsidRDefault="00EB39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33FF" w:rsidTr="00345119">
        <w:tc>
          <w:tcPr>
            <w:tcW w:w="9576" w:type="dxa"/>
          </w:tcPr>
          <w:p w:rsidR="008423E4" w:rsidRPr="00861995" w:rsidRDefault="00EB396B" w:rsidP="00B56C6E">
            <w:pPr>
              <w:jc w:val="right"/>
            </w:pPr>
            <w:r>
              <w:t>S.B. 772</w:t>
            </w:r>
          </w:p>
        </w:tc>
      </w:tr>
      <w:tr w:rsidR="00D733FF" w:rsidTr="00345119">
        <w:tc>
          <w:tcPr>
            <w:tcW w:w="9576" w:type="dxa"/>
          </w:tcPr>
          <w:p w:rsidR="008423E4" w:rsidRPr="00861995" w:rsidRDefault="00EB396B" w:rsidP="00174446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D733FF" w:rsidTr="00345119">
        <w:tc>
          <w:tcPr>
            <w:tcW w:w="9576" w:type="dxa"/>
          </w:tcPr>
          <w:p w:rsidR="008423E4" w:rsidRPr="00861995" w:rsidRDefault="00EB396B" w:rsidP="00345119">
            <w:pPr>
              <w:jc w:val="right"/>
            </w:pPr>
            <w:r>
              <w:t>Judiciary &amp; Civil Jurisprudence</w:t>
            </w:r>
          </w:p>
        </w:tc>
      </w:tr>
      <w:tr w:rsidR="00D733FF" w:rsidTr="00345119">
        <w:tc>
          <w:tcPr>
            <w:tcW w:w="9576" w:type="dxa"/>
          </w:tcPr>
          <w:p w:rsidR="008423E4" w:rsidRDefault="00EB39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396B" w:rsidP="008423E4">
      <w:pPr>
        <w:tabs>
          <w:tab w:val="right" w:pos="9360"/>
        </w:tabs>
      </w:pPr>
    </w:p>
    <w:p w:rsidR="008423E4" w:rsidRDefault="00EB396B" w:rsidP="008423E4"/>
    <w:p w:rsidR="008423E4" w:rsidRDefault="00EB39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33FF" w:rsidTr="00345119">
        <w:tc>
          <w:tcPr>
            <w:tcW w:w="9576" w:type="dxa"/>
          </w:tcPr>
          <w:p w:rsidR="008423E4" w:rsidRPr="00A8133F" w:rsidRDefault="00EB396B" w:rsidP="009F00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396B" w:rsidP="009F00FD"/>
          <w:p w:rsidR="008423E4" w:rsidRDefault="00EB396B" w:rsidP="009F00FD">
            <w:pPr>
              <w:pStyle w:val="Header"/>
              <w:jc w:val="both"/>
              <w:rPr>
                <w:b/>
              </w:rPr>
            </w:pPr>
            <w:r>
              <w:t>It has been noted that</w:t>
            </w:r>
            <w:r w:rsidRPr="00C37F7D">
              <w:t xml:space="preserve"> </w:t>
            </w:r>
            <w:r>
              <w:t>individuals</w:t>
            </w:r>
            <w:r w:rsidRPr="00C37F7D">
              <w:t xml:space="preserve"> </w:t>
            </w:r>
            <w:r>
              <w:t>licensed</w:t>
            </w:r>
            <w:r w:rsidRPr="00C37F7D">
              <w:t xml:space="preserve"> to carry a handgun</w:t>
            </w:r>
            <w:r>
              <w:t xml:space="preserve"> may do so on the premises of</w:t>
            </w:r>
            <w:r w:rsidRPr="00C37F7D">
              <w:t xml:space="preserve"> </w:t>
            </w:r>
            <w:r>
              <w:t>many</w:t>
            </w:r>
            <w:r w:rsidRPr="00C37F7D">
              <w:t xml:space="preserve"> private</w:t>
            </w:r>
            <w:r>
              <w:t>ly owned</w:t>
            </w:r>
            <w:r w:rsidRPr="00C37F7D">
              <w:t xml:space="preserve"> businesses</w:t>
            </w:r>
            <w:r>
              <w:t xml:space="preserve"> in Texas</w:t>
            </w:r>
            <w:r>
              <w:t xml:space="preserve"> </w:t>
            </w:r>
            <w:r w:rsidRPr="00C37F7D">
              <w:t xml:space="preserve">as long as the establishment does not post a notice </w:t>
            </w:r>
            <w:r>
              <w:t>prohibiting the carrying of such a weapon</w:t>
            </w:r>
            <w:r w:rsidRPr="00C37F7D">
              <w:t xml:space="preserve">. </w:t>
            </w:r>
            <w:r>
              <w:t>However</w:t>
            </w:r>
            <w:r>
              <w:t>,</w:t>
            </w:r>
            <w:r>
              <w:t xml:space="preserve"> there are concerns that state law</w:t>
            </w:r>
            <w:r w:rsidRPr="00C37F7D">
              <w:t xml:space="preserve"> does not provide </w:t>
            </w:r>
            <w:r>
              <w:t xml:space="preserve">adequate </w:t>
            </w:r>
            <w:r w:rsidRPr="00C37F7D">
              <w:t xml:space="preserve">civil liability protections to </w:t>
            </w:r>
            <w:r>
              <w:t>these</w:t>
            </w:r>
            <w:r w:rsidRPr="00C37F7D">
              <w:t xml:space="preserve"> </w:t>
            </w:r>
            <w:r>
              <w:t>establishments</w:t>
            </w:r>
            <w:r>
              <w:t xml:space="preserve">, which </w:t>
            </w:r>
            <w:r w:rsidRPr="00C37F7D">
              <w:t>could leave the establi</w:t>
            </w:r>
            <w:r w:rsidRPr="00C37F7D">
              <w:t xml:space="preserve">shment vulnerable to frivolous lawsuits and </w:t>
            </w:r>
            <w:r>
              <w:t>provide</w:t>
            </w:r>
            <w:r w:rsidRPr="00C37F7D">
              <w:t xml:space="preserve"> incentive</w:t>
            </w:r>
            <w:r>
              <w:t>s</w:t>
            </w:r>
            <w:r w:rsidRPr="00C37F7D">
              <w:t xml:space="preserve"> to the</w:t>
            </w:r>
            <w:r>
              <w:t xml:space="preserve"> </w:t>
            </w:r>
            <w:r w:rsidRPr="00C37F7D">
              <w:t>adoption of more restrictive carrying policies.</w:t>
            </w:r>
            <w:r>
              <w:t xml:space="preserve"> </w:t>
            </w:r>
            <w:r w:rsidRPr="00C37F7D">
              <w:t xml:space="preserve">S.B. 772 </w:t>
            </w:r>
            <w:r>
              <w:t xml:space="preserve">seeks to address this issue by </w:t>
            </w:r>
            <w:r>
              <w:t>providing for the inadmissibility of evidence in certain civil actions of a person's failure to fo</w:t>
            </w:r>
            <w:r>
              <w:t>rbid handguns on certain property.</w:t>
            </w:r>
          </w:p>
          <w:p w:rsidR="00C37F7D" w:rsidRPr="00E26B13" w:rsidRDefault="00EB396B" w:rsidP="009F00F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733FF" w:rsidTr="00345119">
        <w:tc>
          <w:tcPr>
            <w:tcW w:w="9576" w:type="dxa"/>
          </w:tcPr>
          <w:p w:rsidR="0017725B" w:rsidRDefault="00EB396B" w:rsidP="009F00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396B" w:rsidP="009F00FD">
            <w:pPr>
              <w:rPr>
                <w:b/>
                <w:u w:val="single"/>
              </w:rPr>
            </w:pPr>
          </w:p>
          <w:p w:rsidR="00B13245" w:rsidRPr="00B13245" w:rsidRDefault="00EB396B" w:rsidP="009F00F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EB396B" w:rsidP="009F00FD">
            <w:pPr>
              <w:rPr>
                <w:b/>
                <w:u w:val="single"/>
              </w:rPr>
            </w:pPr>
          </w:p>
        </w:tc>
      </w:tr>
      <w:tr w:rsidR="00D733FF" w:rsidTr="00345119">
        <w:tc>
          <w:tcPr>
            <w:tcW w:w="9576" w:type="dxa"/>
          </w:tcPr>
          <w:p w:rsidR="008423E4" w:rsidRPr="00A8133F" w:rsidRDefault="00EB396B" w:rsidP="009F00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396B" w:rsidP="009F00FD"/>
          <w:p w:rsidR="008423E4" w:rsidRDefault="00EB396B" w:rsidP="009F00FD">
            <w:pPr>
              <w:pStyle w:val="Header"/>
              <w:tabs>
                <w:tab w:val="clear" w:pos="4320"/>
                <w:tab w:val="clear" w:pos="8640"/>
                <w:tab w:val="left" w:pos="1125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  <w:r>
              <w:tab/>
            </w:r>
          </w:p>
          <w:p w:rsidR="008423E4" w:rsidRPr="00E21FDC" w:rsidRDefault="00EB396B" w:rsidP="009F00FD">
            <w:pPr>
              <w:rPr>
                <w:b/>
              </w:rPr>
            </w:pPr>
          </w:p>
        </w:tc>
      </w:tr>
      <w:tr w:rsidR="00D733FF" w:rsidTr="00345119">
        <w:tc>
          <w:tcPr>
            <w:tcW w:w="9576" w:type="dxa"/>
          </w:tcPr>
          <w:p w:rsidR="008423E4" w:rsidRPr="00A8133F" w:rsidRDefault="00EB396B" w:rsidP="009F00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396B" w:rsidP="009F00FD"/>
          <w:p w:rsidR="00FD00C0" w:rsidRDefault="00EB396B" w:rsidP="009F00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772</w:t>
            </w:r>
            <w:r>
              <w:t xml:space="preserve"> amends the Civil Practice and Remedies Code to </w:t>
            </w:r>
            <w:r>
              <w:t xml:space="preserve">establish that </w:t>
            </w:r>
            <w:r>
              <w:t xml:space="preserve">the fact that a card, sign, or other document that prohibits the holder of a handgun license from carrying a handgun on an applicable property </w:t>
            </w:r>
            <w:r>
              <w:t>is not poste</w:t>
            </w:r>
            <w:r>
              <w:t>d on the property of a business or any other evidence that a person failed to exercise the person's option to forbid the carrying of a handgun by a license holder on the property</w:t>
            </w:r>
            <w:r>
              <w:t>:</w:t>
            </w:r>
            <w:r>
              <w:t xml:space="preserve"> </w:t>
            </w:r>
          </w:p>
          <w:p w:rsidR="00FD00C0" w:rsidRDefault="00EB396B" w:rsidP="009F00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is not admissible as evidence in a trial on the merits in an action: </w:t>
            </w:r>
          </w:p>
          <w:p w:rsidR="00FD00C0" w:rsidRDefault="00EB396B" w:rsidP="009F00F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against a person</w:t>
            </w:r>
            <w:r>
              <w:t>, including a business or other entity, who owns, controls, or manages the property</w:t>
            </w:r>
            <w:r>
              <w:t>;</w:t>
            </w:r>
            <w:r>
              <w:t xml:space="preserve"> and </w:t>
            </w:r>
          </w:p>
          <w:p w:rsidR="00FD00C0" w:rsidRDefault="00EB396B" w:rsidP="009F00FD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 which the cause of action arises from an injury sustained on the property; and </w:t>
            </w:r>
          </w:p>
          <w:p w:rsidR="008423E4" w:rsidRDefault="00EB396B" w:rsidP="0076682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does not support </w:t>
            </w:r>
            <w:r>
              <w:t xml:space="preserve">such </w:t>
            </w:r>
            <w:r>
              <w:t xml:space="preserve">a cause of action against such a person.  </w:t>
            </w:r>
            <w:r>
              <w:t xml:space="preserve"> </w:t>
            </w:r>
          </w:p>
          <w:p w:rsidR="008423E4" w:rsidRPr="00835628" w:rsidRDefault="00EB396B" w:rsidP="009F00FD">
            <w:pPr>
              <w:rPr>
                <w:b/>
              </w:rPr>
            </w:pPr>
          </w:p>
        </w:tc>
      </w:tr>
      <w:tr w:rsidR="00D733FF" w:rsidTr="00345119">
        <w:tc>
          <w:tcPr>
            <w:tcW w:w="9576" w:type="dxa"/>
          </w:tcPr>
          <w:p w:rsidR="008423E4" w:rsidRPr="00A8133F" w:rsidRDefault="00EB396B" w:rsidP="009F00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396B" w:rsidP="009F00FD"/>
          <w:p w:rsidR="008423E4" w:rsidRPr="003624F2" w:rsidRDefault="00EB396B" w:rsidP="009F00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EB396B" w:rsidP="009F00FD">
            <w:pPr>
              <w:rPr>
                <w:b/>
              </w:rPr>
            </w:pPr>
          </w:p>
        </w:tc>
      </w:tr>
      <w:tr w:rsidR="00D733FF" w:rsidTr="00345119">
        <w:tc>
          <w:tcPr>
            <w:tcW w:w="9576" w:type="dxa"/>
          </w:tcPr>
          <w:p w:rsidR="00A22177" w:rsidRPr="00A22177" w:rsidRDefault="00EB396B" w:rsidP="009F00FD">
            <w:pPr>
              <w:jc w:val="both"/>
            </w:pPr>
          </w:p>
        </w:tc>
      </w:tr>
      <w:tr w:rsidR="00D733FF" w:rsidTr="00345119">
        <w:tc>
          <w:tcPr>
            <w:tcW w:w="9576" w:type="dxa"/>
          </w:tcPr>
          <w:p w:rsidR="004E4804" w:rsidRPr="004E4804" w:rsidRDefault="00EB396B" w:rsidP="009F00FD">
            <w:pPr>
              <w:jc w:val="both"/>
            </w:pPr>
          </w:p>
        </w:tc>
      </w:tr>
    </w:tbl>
    <w:p w:rsidR="008423E4" w:rsidRPr="00BE0E75" w:rsidRDefault="00EB39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396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396B">
      <w:r>
        <w:separator/>
      </w:r>
    </w:p>
  </w:endnote>
  <w:endnote w:type="continuationSeparator" w:id="0">
    <w:p w:rsidR="00000000" w:rsidRDefault="00E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4E" w:rsidRDefault="00EB3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33FF" w:rsidTr="009C1E9A">
      <w:trPr>
        <w:cantSplit/>
      </w:trPr>
      <w:tc>
        <w:tcPr>
          <w:tcW w:w="0" w:type="pct"/>
        </w:tcPr>
        <w:p w:rsidR="00137D90" w:rsidRDefault="00EB3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3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3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3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3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3FF" w:rsidTr="009C1E9A">
      <w:trPr>
        <w:cantSplit/>
      </w:trPr>
      <w:tc>
        <w:tcPr>
          <w:tcW w:w="0" w:type="pct"/>
        </w:tcPr>
        <w:p w:rsidR="00EC379B" w:rsidRDefault="00EB3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39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33463</w:t>
          </w:r>
        </w:p>
      </w:tc>
      <w:tc>
        <w:tcPr>
          <w:tcW w:w="2453" w:type="pct"/>
        </w:tcPr>
        <w:p w:rsidR="00EC379B" w:rsidRDefault="00EB3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19.130.815</w:t>
          </w:r>
          <w:r>
            <w:fldChar w:fldCharType="end"/>
          </w:r>
        </w:p>
      </w:tc>
    </w:tr>
    <w:tr w:rsidR="00D733FF" w:rsidTr="009C1E9A">
      <w:trPr>
        <w:cantSplit/>
      </w:trPr>
      <w:tc>
        <w:tcPr>
          <w:tcW w:w="0" w:type="pct"/>
        </w:tcPr>
        <w:p w:rsidR="00EC379B" w:rsidRDefault="00EB3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3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396B" w:rsidP="006D504F">
          <w:pPr>
            <w:pStyle w:val="Footer"/>
            <w:rPr>
              <w:rStyle w:val="PageNumber"/>
            </w:rPr>
          </w:pPr>
        </w:p>
        <w:p w:rsidR="00EC379B" w:rsidRDefault="00EB3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3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39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39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39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4E" w:rsidRDefault="00EB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396B">
      <w:r>
        <w:separator/>
      </w:r>
    </w:p>
  </w:footnote>
  <w:footnote w:type="continuationSeparator" w:id="0">
    <w:p w:rsidR="00000000" w:rsidRDefault="00EB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4E" w:rsidRDefault="00EB3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4E" w:rsidRDefault="00EB3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4E" w:rsidRDefault="00EB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B4D15"/>
    <w:multiLevelType w:val="hybridMultilevel"/>
    <w:tmpl w:val="CD9A3D64"/>
    <w:lvl w:ilvl="0" w:tplc="C1FC7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EB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E8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AE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2F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A6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EB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CF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FF"/>
    <w:rsid w:val="00D733FF"/>
    <w:rsid w:val="00E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42AA8-20B5-4003-815C-E68F7137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57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7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737"/>
    <w:rPr>
      <w:b/>
      <w:bCs/>
    </w:rPr>
  </w:style>
  <w:style w:type="character" w:styleId="Hyperlink">
    <w:name w:val="Hyperlink"/>
    <w:basedOn w:val="DefaultParagraphFont"/>
    <w:unhideWhenUsed/>
    <w:rsid w:val="003E6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B2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1710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SB00772 (Committee Report (Unamended))</vt:lpstr>
    </vt:vector>
  </TitlesOfParts>
  <Company>State of Texas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33463</dc:subject>
  <dc:creator>State of Texas</dc:creator>
  <dc:description>SB 772 by Hughes-(H)Judiciary &amp; Civil Jurisprudence</dc:description>
  <cp:lastModifiedBy>Scotty Wimberley</cp:lastModifiedBy>
  <cp:revision>2</cp:revision>
  <cp:lastPrinted>2003-11-26T17:21:00Z</cp:lastPrinted>
  <dcterms:created xsi:type="dcterms:W3CDTF">2019-05-14T18:51:00Z</dcterms:created>
  <dcterms:modified xsi:type="dcterms:W3CDTF">2019-05-14T18:51:00Z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19.130.815</vt:lpwstr>
  </property>
</Properties>
</file>