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01A49" w:rsidTr="00345119">
        <w:tc>
          <w:tcPr>
            <w:tcW w:w="9576" w:type="dxa"/>
            <w:noWrap/>
          </w:tcPr>
          <w:p w:rsidR="008423E4" w:rsidRPr="0022177D" w:rsidRDefault="00961A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1AFA" w:rsidP="008423E4">
      <w:pPr>
        <w:jc w:val="center"/>
      </w:pPr>
    </w:p>
    <w:p w:rsidR="008423E4" w:rsidRPr="00B31F0E" w:rsidRDefault="00961AFA" w:rsidP="008423E4"/>
    <w:p w:rsidR="008423E4" w:rsidRPr="00742794" w:rsidRDefault="00961A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1A49" w:rsidTr="00345119">
        <w:tc>
          <w:tcPr>
            <w:tcW w:w="9576" w:type="dxa"/>
          </w:tcPr>
          <w:p w:rsidR="008423E4" w:rsidRPr="00861995" w:rsidRDefault="00961AFA" w:rsidP="00345119">
            <w:pPr>
              <w:jc w:val="right"/>
            </w:pPr>
            <w:r>
              <w:t>S.B. 799</w:t>
            </w:r>
          </w:p>
        </w:tc>
      </w:tr>
      <w:tr w:rsidR="00801A49" w:rsidTr="00345119">
        <w:tc>
          <w:tcPr>
            <w:tcW w:w="9576" w:type="dxa"/>
          </w:tcPr>
          <w:p w:rsidR="008423E4" w:rsidRPr="00861995" w:rsidRDefault="00961AFA" w:rsidP="002446D7">
            <w:pPr>
              <w:jc w:val="right"/>
            </w:pPr>
            <w:r>
              <w:t>By:</w:t>
            </w:r>
            <w:r>
              <w:t xml:space="preserve"> Alvarado</w:t>
            </w:r>
            <w:r>
              <w:t xml:space="preserve"> </w:t>
            </w:r>
          </w:p>
        </w:tc>
      </w:tr>
      <w:tr w:rsidR="00801A49" w:rsidTr="00345119">
        <w:tc>
          <w:tcPr>
            <w:tcW w:w="9576" w:type="dxa"/>
          </w:tcPr>
          <w:p w:rsidR="008423E4" w:rsidRPr="00861995" w:rsidRDefault="00961AFA" w:rsidP="00345119">
            <w:pPr>
              <w:jc w:val="right"/>
            </w:pPr>
            <w:r>
              <w:t>Homeland Security &amp; Public Safety</w:t>
            </w:r>
          </w:p>
        </w:tc>
      </w:tr>
      <w:tr w:rsidR="00801A49" w:rsidTr="00345119">
        <w:tc>
          <w:tcPr>
            <w:tcW w:w="9576" w:type="dxa"/>
          </w:tcPr>
          <w:p w:rsidR="008423E4" w:rsidRDefault="00961A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1AFA" w:rsidP="008423E4">
      <w:pPr>
        <w:tabs>
          <w:tab w:val="right" w:pos="9360"/>
        </w:tabs>
      </w:pPr>
    </w:p>
    <w:p w:rsidR="008423E4" w:rsidRDefault="00961AFA" w:rsidP="008423E4"/>
    <w:p w:rsidR="008423E4" w:rsidRDefault="00961A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01A49" w:rsidTr="00345119">
        <w:tc>
          <w:tcPr>
            <w:tcW w:w="9576" w:type="dxa"/>
          </w:tcPr>
          <w:p w:rsidR="008423E4" w:rsidRPr="00A8133F" w:rsidRDefault="00961AFA" w:rsidP="007F54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1AFA" w:rsidP="007F54FF"/>
          <w:p w:rsidR="008423E4" w:rsidRDefault="00961AFA" w:rsidP="007F54FF">
            <w:pPr>
              <w:pStyle w:val="Header"/>
              <w:jc w:val="both"/>
            </w:pPr>
            <w:r>
              <w:t>A report by the General Land Office following Hurricane Harvey recommended the creation of a business advisory council as a formal mechanism by which state and local recovery managers could access the input and expertise of the business community on disast</w:t>
            </w:r>
            <w:r>
              <w:t>er recovery, particularly on housing issues. S.B. 799 seeks to fulfil</w:t>
            </w:r>
            <w:r>
              <w:t>l</w:t>
            </w:r>
            <w:r>
              <w:t xml:space="preserve"> this recommendation by creating the business advisory council to advise the Texas Division of Emergency Management </w:t>
            </w:r>
            <w:r>
              <w:t>on disaster response matters.</w:t>
            </w:r>
          </w:p>
          <w:p w:rsidR="008423E4" w:rsidRPr="00E26B13" w:rsidRDefault="00961AFA" w:rsidP="007F54FF">
            <w:pPr>
              <w:rPr>
                <w:b/>
              </w:rPr>
            </w:pPr>
          </w:p>
        </w:tc>
      </w:tr>
      <w:tr w:rsidR="00801A49" w:rsidTr="00345119">
        <w:tc>
          <w:tcPr>
            <w:tcW w:w="9576" w:type="dxa"/>
          </w:tcPr>
          <w:p w:rsidR="0017725B" w:rsidRDefault="00961AFA" w:rsidP="007F5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1AFA" w:rsidP="007F54FF">
            <w:pPr>
              <w:rPr>
                <w:b/>
                <w:u w:val="single"/>
              </w:rPr>
            </w:pPr>
          </w:p>
          <w:p w:rsidR="00E41CE4" w:rsidRPr="00E41CE4" w:rsidRDefault="00961AFA" w:rsidP="007F54FF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961AFA" w:rsidP="007F54FF">
            <w:pPr>
              <w:rPr>
                <w:b/>
                <w:u w:val="single"/>
              </w:rPr>
            </w:pPr>
          </w:p>
        </w:tc>
      </w:tr>
      <w:tr w:rsidR="00801A49" w:rsidTr="00345119">
        <w:tc>
          <w:tcPr>
            <w:tcW w:w="9576" w:type="dxa"/>
          </w:tcPr>
          <w:p w:rsidR="008423E4" w:rsidRPr="00A8133F" w:rsidRDefault="00961AFA" w:rsidP="007F54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1AFA" w:rsidP="007F54FF"/>
          <w:p w:rsidR="00E41CE4" w:rsidRDefault="00961AFA" w:rsidP="007F54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61AFA" w:rsidP="007F54FF">
            <w:pPr>
              <w:rPr>
                <w:b/>
              </w:rPr>
            </w:pPr>
          </w:p>
        </w:tc>
      </w:tr>
      <w:tr w:rsidR="00801A49" w:rsidTr="00345119">
        <w:tc>
          <w:tcPr>
            <w:tcW w:w="9576" w:type="dxa"/>
          </w:tcPr>
          <w:p w:rsidR="008423E4" w:rsidRPr="00A8133F" w:rsidRDefault="00961AFA" w:rsidP="007F54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1AFA" w:rsidP="007F54FF"/>
          <w:p w:rsidR="00B745DC" w:rsidRDefault="00961AFA" w:rsidP="007F54FF">
            <w:pPr>
              <w:pStyle w:val="Header"/>
              <w:jc w:val="both"/>
            </w:pPr>
            <w:r>
              <w:t>S.B</w:t>
            </w:r>
            <w:r>
              <w:t xml:space="preserve">. 799 amends the Government Code to establish the business advisory council </w:t>
            </w:r>
            <w:r w:rsidRPr="000151E8">
              <w:t>to provide advice and expertise on actions state and local governments can take to assist businesses in recovering from a disaster.</w:t>
            </w:r>
            <w:r>
              <w:t xml:space="preserve"> The bill sets out the composition of the </w:t>
            </w:r>
            <w:r>
              <w:t>12-member council and provides for the members' terms of service, reimbursement of expenses, frequency of meetings, and election of a presiding officer. The bill requires the council to perform the following duties:</w:t>
            </w:r>
          </w:p>
          <w:p w:rsidR="00352A8F" w:rsidRDefault="00961AFA" w:rsidP="007F54F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advise the Texas Division of Emergency M</w:t>
            </w:r>
            <w:r>
              <w:t xml:space="preserve">anagement (TDEM) on policies, rules, and program operations to assist businesses in recovering from a disaster; </w:t>
            </w:r>
          </w:p>
          <w:p w:rsidR="00352A8F" w:rsidRDefault="00961AFA" w:rsidP="007F54F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advise TDEM on the state resources and services needed to assist businesses in recovering from a catastrophic loss of electric power; and </w:t>
            </w:r>
          </w:p>
          <w:p w:rsidR="00352A8F" w:rsidRDefault="00961AFA" w:rsidP="007F54F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prop</w:t>
            </w:r>
            <w:r>
              <w:t xml:space="preserve">ose solutions to address inefficiencies or problems in the state or local governmental disaster response with respect to impact on businesses and the economy. </w:t>
            </w:r>
          </w:p>
          <w:p w:rsidR="00352A8F" w:rsidRPr="007F54FF" w:rsidRDefault="00961AFA" w:rsidP="007F54FF">
            <w:pPr>
              <w:pStyle w:val="Header"/>
              <w:jc w:val="both"/>
              <w:rPr>
                <w:sz w:val="22"/>
              </w:rPr>
            </w:pPr>
          </w:p>
          <w:p w:rsidR="008423E4" w:rsidRDefault="00961AFA" w:rsidP="007F54FF">
            <w:pPr>
              <w:pStyle w:val="Header"/>
              <w:jc w:val="both"/>
            </w:pPr>
            <w:r>
              <w:t>S.B. 799</w:t>
            </w:r>
            <w:r>
              <w:t xml:space="preserve"> requires the council, not later than November 1 of each even-numbered year, to </w:t>
            </w:r>
            <w:r w:rsidRPr="000151E8">
              <w:t xml:space="preserve">submit </w:t>
            </w:r>
            <w:r w:rsidRPr="000151E8">
              <w:t xml:space="preserve">a report on the council's activities, advice, and proposed solutions to </w:t>
            </w:r>
            <w:r>
              <w:t>TDEM</w:t>
            </w:r>
            <w:r w:rsidRPr="000151E8">
              <w:t>, the governor, the lieutenant governor, and the speaker of the house of representatives.</w:t>
            </w:r>
            <w:r>
              <w:t xml:space="preserve"> The bill requires TDEM to provide administrative support to the council</w:t>
            </w:r>
            <w:r>
              <w:t xml:space="preserve"> and</w:t>
            </w:r>
            <w:r>
              <w:t xml:space="preserve"> exempts the co</w:t>
            </w:r>
            <w:r>
              <w:t xml:space="preserve">uncil from </w:t>
            </w:r>
            <w:r>
              <w:t>statutory provisions relating to state agency advisory committees.</w:t>
            </w:r>
            <w:r>
              <w:t xml:space="preserve"> The bill provides for the allocation among the appointing authorities of </w:t>
            </w:r>
            <w:r>
              <w:t xml:space="preserve">initial </w:t>
            </w:r>
            <w:r>
              <w:t xml:space="preserve">appointments to council positions </w:t>
            </w:r>
            <w:r>
              <w:t>for which the</w:t>
            </w:r>
            <w:r>
              <w:t xml:space="preserve"> staggered terms expire </w:t>
            </w:r>
            <w:r>
              <w:t>February 1, 2021; February</w:t>
            </w:r>
            <w:r>
              <w:t xml:space="preserve"> 1, 2022; and February 1, 2023.</w:t>
            </w:r>
            <w:r>
              <w:t xml:space="preserve"> </w:t>
            </w:r>
          </w:p>
          <w:p w:rsidR="008423E4" w:rsidRPr="00835628" w:rsidRDefault="00961AFA" w:rsidP="007F54FF">
            <w:pPr>
              <w:rPr>
                <w:b/>
              </w:rPr>
            </w:pPr>
          </w:p>
        </w:tc>
      </w:tr>
      <w:tr w:rsidR="00801A49" w:rsidTr="00345119">
        <w:tc>
          <w:tcPr>
            <w:tcW w:w="9576" w:type="dxa"/>
          </w:tcPr>
          <w:p w:rsidR="00F86BBD" w:rsidRDefault="00961AFA" w:rsidP="007F54FF">
            <w:pPr>
              <w:rPr>
                <w:b/>
                <w:u w:val="single"/>
              </w:rPr>
            </w:pPr>
          </w:p>
          <w:p w:rsidR="00F86BBD" w:rsidRDefault="00961AFA" w:rsidP="007F54FF">
            <w:pPr>
              <w:rPr>
                <w:b/>
                <w:u w:val="single"/>
              </w:rPr>
            </w:pPr>
          </w:p>
          <w:p w:rsidR="008423E4" w:rsidRPr="00A8133F" w:rsidRDefault="00961AFA" w:rsidP="007F54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1AFA" w:rsidP="007F54FF"/>
          <w:p w:rsidR="008423E4" w:rsidRPr="00233FDB" w:rsidRDefault="00961AFA" w:rsidP="007F54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7F54FF" w:rsidRDefault="00961AFA" w:rsidP="008423E4">
      <w:pPr>
        <w:rPr>
          <w:sz w:val="10"/>
        </w:rPr>
      </w:pPr>
    </w:p>
    <w:sectPr w:rsidR="004108C3" w:rsidRPr="007F54F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AFA">
      <w:r>
        <w:separator/>
      </w:r>
    </w:p>
  </w:endnote>
  <w:endnote w:type="continuationSeparator" w:id="0">
    <w:p w:rsidR="00000000" w:rsidRDefault="009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1A49" w:rsidTr="009C1E9A">
      <w:trPr>
        <w:cantSplit/>
      </w:trPr>
      <w:tc>
        <w:tcPr>
          <w:tcW w:w="0" w:type="pct"/>
        </w:tcPr>
        <w:p w:rsidR="00137D90" w:rsidRDefault="00961A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1A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1A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1A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1A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A49" w:rsidTr="009C1E9A">
      <w:trPr>
        <w:cantSplit/>
      </w:trPr>
      <w:tc>
        <w:tcPr>
          <w:tcW w:w="0" w:type="pct"/>
        </w:tcPr>
        <w:p w:rsidR="00EC379B" w:rsidRDefault="00961A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1A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30324</w:t>
          </w:r>
        </w:p>
      </w:tc>
      <w:tc>
        <w:tcPr>
          <w:tcW w:w="2453" w:type="pct"/>
        </w:tcPr>
        <w:p w:rsidR="00EC379B" w:rsidRDefault="00961A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19.118.117</w:t>
          </w:r>
          <w:r>
            <w:fldChar w:fldCharType="end"/>
          </w:r>
        </w:p>
      </w:tc>
    </w:tr>
    <w:tr w:rsidR="00801A49" w:rsidTr="009C1E9A">
      <w:trPr>
        <w:cantSplit/>
      </w:trPr>
      <w:tc>
        <w:tcPr>
          <w:tcW w:w="0" w:type="pct"/>
        </w:tcPr>
        <w:p w:rsidR="00EC379B" w:rsidRDefault="00961A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1A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1AFA" w:rsidP="006D504F">
          <w:pPr>
            <w:pStyle w:val="Footer"/>
            <w:rPr>
              <w:rStyle w:val="PageNumber"/>
            </w:rPr>
          </w:pPr>
        </w:p>
        <w:p w:rsidR="00EC379B" w:rsidRDefault="00961A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A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1A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1A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1A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AFA">
      <w:r>
        <w:separator/>
      </w:r>
    </w:p>
  </w:footnote>
  <w:footnote w:type="continuationSeparator" w:id="0">
    <w:p w:rsidR="00000000" w:rsidRDefault="0096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0D47"/>
    <w:multiLevelType w:val="hybridMultilevel"/>
    <w:tmpl w:val="0FF6C696"/>
    <w:lvl w:ilvl="0" w:tplc="3E801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7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AA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8B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EB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C4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7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05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C1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9"/>
    <w:rsid w:val="00801A49"/>
    <w:rsid w:val="009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C57472-6FDD-4CC5-972A-ED3E6EA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1C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1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C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2277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SB00799 (Committee Report (Unamended))</vt:lpstr>
    </vt:vector>
  </TitlesOfParts>
  <Company>State of Texas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30324</dc:subject>
  <dc:creator>State of Texas</dc:creator>
  <dc:description>SB 799 by Alvarado-(H)Homeland Security &amp; Public Safety</dc:description>
  <cp:lastModifiedBy>Laura Ramsay</cp:lastModifiedBy>
  <cp:revision>2</cp:revision>
  <cp:lastPrinted>2003-11-26T17:21:00Z</cp:lastPrinted>
  <dcterms:created xsi:type="dcterms:W3CDTF">2019-05-14T23:57:00Z</dcterms:created>
  <dcterms:modified xsi:type="dcterms:W3CDTF">2019-05-14T23:57:00Z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19.118.117</vt:lpwstr>
  </property>
</Properties>
</file>