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2083" w:rsidTr="00345119">
        <w:tc>
          <w:tcPr>
            <w:tcW w:w="9576" w:type="dxa"/>
            <w:noWrap/>
          </w:tcPr>
          <w:p w:rsidR="008423E4" w:rsidRPr="0022177D" w:rsidRDefault="00691A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1AB2" w:rsidP="008423E4">
      <w:pPr>
        <w:jc w:val="center"/>
      </w:pPr>
    </w:p>
    <w:p w:rsidR="008423E4" w:rsidRPr="00B31F0E" w:rsidRDefault="00691AB2" w:rsidP="008423E4"/>
    <w:p w:rsidR="008423E4" w:rsidRPr="00742794" w:rsidRDefault="00691A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2083" w:rsidTr="00345119">
        <w:tc>
          <w:tcPr>
            <w:tcW w:w="9576" w:type="dxa"/>
          </w:tcPr>
          <w:p w:rsidR="008423E4" w:rsidRPr="00861995" w:rsidRDefault="00691AB2" w:rsidP="00345119">
            <w:pPr>
              <w:jc w:val="right"/>
            </w:pPr>
            <w:r>
              <w:t>S.B. 815</w:t>
            </w:r>
          </w:p>
        </w:tc>
      </w:tr>
      <w:tr w:rsidR="005E2083" w:rsidTr="00345119">
        <w:tc>
          <w:tcPr>
            <w:tcW w:w="9576" w:type="dxa"/>
          </w:tcPr>
          <w:p w:rsidR="008423E4" w:rsidRPr="00861995" w:rsidRDefault="00691AB2" w:rsidP="00542EE0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5E2083" w:rsidTr="00345119">
        <w:tc>
          <w:tcPr>
            <w:tcW w:w="9576" w:type="dxa"/>
          </w:tcPr>
          <w:p w:rsidR="008423E4" w:rsidRPr="00861995" w:rsidRDefault="00691AB2" w:rsidP="00345119">
            <w:pPr>
              <w:jc w:val="right"/>
            </w:pPr>
            <w:r>
              <w:t>Criminal Jurisprudence</w:t>
            </w:r>
          </w:p>
        </w:tc>
      </w:tr>
      <w:tr w:rsidR="005E2083" w:rsidTr="00345119">
        <w:tc>
          <w:tcPr>
            <w:tcW w:w="9576" w:type="dxa"/>
          </w:tcPr>
          <w:p w:rsidR="008423E4" w:rsidRDefault="00691AB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1AB2" w:rsidP="008423E4">
      <w:pPr>
        <w:tabs>
          <w:tab w:val="right" w:pos="9360"/>
        </w:tabs>
      </w:pPr>
    </w:p>
    <w:p w:rsidR="008423E4" w:rsidRDefault="00691AB2" w:rsidP="008423E4"/>
    <w:p w:rsidR="008423E4" w:rsidRDefault="00691A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2083" w:rsidTr="00345119">
        <w:tc>
          <w:tcPr>
            <w:tcW w:w="9576" w:type="dxa"/>
          </w:tcPr>
          <w:p w:rsidR="008423E4" w:rsidRPr="00A8133F" w:rsidRDefault="00691AB2" w:rsidP="00090B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1AB2" w:rsidP="00090BE1"/>
          <w:p w:rsidR="008423E4" w:rsidRDefault="00691AB2" w:rsidP="00090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>
              <w:t xml:space="preserve">that recent legislative changes have introduced some confusion relating to </w:t>
            </w:r>
            <w:r>
              <w:t xml:space="preserve">how long a </w:t>
            </w:r>
            <w:r>
              <w:t xml:space="preserve">record </w:t>
            </w:r>
            <w:r>
              <w:t xml:space="preserve">of </w:t>
            </w:r>
            <w:r>
              <w:t>a magistrate</w:t>
            </w:r>
            <w:r>
              <w:t>'</w:t>
            </w:r>
            <w:r>
              <w:t xml:space="preserve">s </w:t>
            </w:r>
            <w:r>
              <w:t>notice to a</w:t>
            </w:r>
            <w:r>
              <w:t xml:space="preserve"> defendant</w:t>
            </w:r>
            <w:r>
              <w:t xml:space="preserve"> </w:t>
            </w:r>
            <w:r>
              <w:t xml:space="preserve">of </w:t>
            </w:r>
            <w:r>
              <w:t>the right to request appointment of counsel</w:t>
            </w:r>
            <w:r>
              <w:t xml:space="preserve"> and </w:t>
            </w:r>
            <w:r>
              <w:t>of a</w:t>
            </w:r>
            <w:r>
              <w:t xml:space="preserve"> defendant</w:t>
            </w:r>
            <w:r>
              <w:t>'</w:t>
            </w:r>
            <w:r>
              <w:t>s response</w:t>
            </w:r>
            <w:r>
              <w:t xml:space="preserve"> must be preserved</w:t>
            </w:r>
            <w:r>
              <w:t>.</w:t>
            </w:r>
            <w:r>
              <w:t xml:space="preserve"> </w:t>
            </w:r>
            <w:r>
              <w:t>This confusion is problematic</w:t>
            </w:r>
            <w:r>
              <w:t xml:space="preserve"> because </w:t>
            </w:r>
            <w:r>
              <w:t xml:space="preserve">the forms used by the magistrate </w:t>
            </w:r>
            <w:r>
              <w:t>contain the information used</w:t>
            </w:r>
            <w:r>
              <w:t xml:space="preserve"> by </w:t>
            </w:r>
            <w:r>
              <w:t>the Texas Indigent Defense Commissi</w:t>
            </w:r>
            <w:r>
              <w:t xml:space="preserve">on policy </w:t>
            </w:r>
            <w:r>
              <w:t xml:space="preserve">to </w:t>
            </w:r>
            <w:r>
              <w:t>monitor</w:t>
            </w:r>
            <w:r>
              <w:t xml:space="preserve"> </w:t>
            </w:r>
            <w:r>
              <w:t xml:space="preserve">whether </w:t>
            </w:r>
            <w:r>
              <w:t>magistrates are advising defendants of the right to counsel</w:t>
            </w:r>
            <w:r>
              <w:t xml:space="preserve"> and</w:t>
            </w:r>
            <w:r>
              <w:t xml:space="preserve"> whether </w:t>
            </w:r>
            <w:r>
              <w:t xml:space="preserve">and when </w:t>
            </w:r>
            <w:r>
              <w:t>defendants request counsel</w:t>
            </w:r>
            <w:r>
              <w:t xml:space="preserve">. </w:t>
            </w:r>
            <w:r>
              <w:t>S.B. 815</w:t>
            </w:r>
            <w:r>
              <w:t xml:space="preserve"> seeks to address these concerns by requiring these records to</w:t>
            </w:r>
            <w:r>
              <w:t xml:space="preserve"> </w:t>
            </w:r>
            <w:r>
              <w:t xml:space="preserve">be </w:t>
            </w:r>
            <w:r w:rsidRPr="00946CC9">
              <w:t>retained in compliance with the applicable</w:t>
            </w:r>
            <w:r>
              <w:t xml:space="preserve"> local government</w:t>
            </w:r>
            <w:r w:rsidRPr="00946CC9">
              <w:t xml:space="preserve"> records retention schedule of the Texas State Library and Archives Commission</w:t>
            </w:r>
            <w:r>
              <w:t xml:space="preserve">. </w:t>
            </w:r>
          </w:p>
          <w:p w:rsidR="008423E4" w:rsidRPr="00E26B13" w:rsidRDefault="00691AB2" w:rsidP="00090BE1">
            <w:pPr>
              <w:rPr>
                <w:b/>
              </w:rPr>
            </w:pPr>
          </w:p>
        </w:tc>
      </w:tr>
      <w:tr w:rsidR="005E2083" w:rsidTr="00345119">
        <w:tc>
          <w:tcPr>
            <w:tcW w:w="9576" w:type="dxa"/>
          </w:tcPr>
          <w:p w:rsidR="0017725B" w:rsidRDefault="00691AB2" w:rsidP="00090B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1AB2" w:rsidP="00090BE1">
            <w:pPr>
              <w:rPr>
                <w:b/>
                <w:u w:val="single"/>
              </w:rPr>
            </w:pPr>
          </w:p>
          <w:p w:rsidR="00946CC9" w:rsidRPr="00946CC9" w:rsidRDefault="00691AB2" w:rsidP="00090BE1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691AB2" w:rsidP="00090BE1">
            <w:pPr>
              <w:rPr>
                <w:b/>
                <w:u w:val="single"/>
              </w:rPr>
            </w:pPr>
          </w:p>
        </w:tc>
      </w:tr>
      <w:tr w:rsidR="005E2083" w:rsidTr="00345119">
        <w:tc>
          <w:tcPr>
            <w:tcW w:w="9576" w:type="dxa"/>
          </w:tcPr>
          <w:p w:rsidR="008423E4" w:rsidRPr="00A8133F" w:rsidRDefault="00691AB2" w:rsidP="00090B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1AB2" w:rsidP="00090BE1"/>
          <w:p w:rsidR="00946CC9" w:rsidRDefault="00691AB2" w:rsidP="00090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691AB2" w:rsidP="00090BE1">
            <w:pPr>
              <w:rPr>
                <w:b/>
              </w:rPr>
            </w:pPr>
          </w:p>
        </w:tc>
      </w:tr>
      <w:tr w:rsidR="005E2083" w:rsidTr="00345119">
        <w:tc>
          <w:tcPr>
            <w:tcW w:w="9576" w:type="dxa"/>
          </w:tcPr>
          <w:p w:rsidR="008423E4" w:rsidRPr="00A8133F" w:rsidRDefault="00691AB2" w:rsidP="00090B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1AB2" w:rsidP="00090BE1"/>
          <w:p w:rsidR="008F795A" w:rsidRDefault="00691AB2" w:rsidP="00090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20790">
              <w:t>S.B. 815</w:t>
            </w:r>
            <w:r>
              <w:t xml:space="preserve"> amends the Code of Criminal Procedure to </w:t>
            </w:r>
            <w:r>
              <w:t xml:space="preserve">change </w:t>
            </w:r>
            <w:r>
              <w:t xml:space="preserve">the </w:t>
            </w:r>
            <w:r>
              <w:t xml:space="preserve">preservation </w:t>
            </w:r>
            <w:r>
              <w:t xml:space="preserve">requirement </w:t>
            </w:r>
            <w:r>
              <w:t>applicable to</w:t>
            </w:r>
            <w:r>
              <w:t xml:space="preserve"> </w:t>
            </w:r>
            <w:r>
              <w:t>a</w:t>
            </w:r>
            <w:r w:rsidRPr="00946CC9">
              <w:t xml:space="preserve"> record of communication between </w:t>
            </w:r>
            <w:r>
              <w:t>a</w:t>
            </w:r>
            <w:r w:rsidRPr="00946CC9">
              <w:t xml:space="preserve"> magistrate</w:t>
            </w:r>
            <w:r>
              <w:t xml:space="preserve"> an</w:t>
            </w:r>
            <w:r>
              <w:t>d</w:t>
            </w:r>
            <w:r>
              <w:t xml:space="preserve"> a</w:t>
            </w:r>
            <w:r>
              <w:t xml:space="preserve"> person arrested under warrant and </w:t>
            </w:r>
            <w:r>
              <w:t>taken</w:t>
            </w:r>
            <w:r>
              <w:t xml:space="preserve"> before the magistrate</w:t>
            </w:r>
            <w:r w:rsidRPr="00946CC9">
              <w:t xml:space="preserve"> </w:t>
            </w:r>
            <w:r>
              <w:t>from preservation for certain optional time periods</w:t>
            </w:r>
            <w:r>
              <w:t xml:space="preserve"> based on level of offense</w:t>
            </w:r>
            <w:r>
              <w:t xml:space="preserve"> to</w:t>
            </w:r>
            <w:r>
              <w:t xml:space="preserve"> </w:t>
            </w:r>
            <w:r>
              <w:t xml:space="preserve">retention </w:t>
            </w:r>
            <w:r w:rsidRPr="00946CC9">
              <w:t>in compliance with the applicable</w:t>
            </w:r>
            <w:r>
              <w:t xml:space="preserve"> local government</w:t>
            </w:r>
            <w:r w:rsidRPr="00946CC9">
              <w:t xml:space="preserve"> records retention schedule prepared by the director</w:t>
            </w:r>
            <w:r w:rsidRPr="00946CC9">
              <w:t xml:space="preserve"> and librarian of the Texas State Library and Archives Commission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>
              <w:t xml:space="preserve">requires </w:t>
            </w:r>
            <w:r>
              <w:t>a record</w:t>
            </w:r>
            <w:r w:rsidRPr="00946CC9">
              <w:t xml:space="preserve"> of communication between </w:t>
            </w:r>
            <w:r>
              <w:t>a</w:t>
            </w:r>
            <w:r w:rsidRPr="00946CC9">
              <w:t xml:space="preserve"> magistrate</w:t>
            </w:r>
            <w:r>
              <w:t xml:space="preserve"> and </w:t>
            </w:r>
            <w:r>
              <w:t xml:space="preserve">a </w:t>
            </w:r>
            <w:r>
              <w:t>person arrested under warrant</w:t>
            </w:r>
            <w:r>
              <w:t xml:space="preserve"> for an out-of-county offense </w:t>
            </w:r>
            <w:r>
              <w:t>and taken before a magistrate</w:t>
            </w:r>
            <w:r>
              <w:t xml:space="preserve"> to be retained in compliance with that same type of schedule.</w:t>
            </w:r>
            <w:r>
              <w:t xml:space="preserve"> </w:t>
            </w:r>
          </w:p>
          <w:p w:rsidR="008423E4" w:rsidRPr="00835628" w:rsidRDefault="00691AB2" w:rsidP="00090BE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E2083" w:rsidTr="00345119">
        <w:tc>
          <w:tcPr>
            <w:tcW w:w="9576" w:type="dxa"/>
          </w:tcPr>
          <w:p w:rsidR="008423E4" w:rsidRPr="00A8133F" w:rsidRDefault="00691AB2" w:rsidP="00090B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1AB2" w:rsidP="00090BE1"/>
          <w:p w:rsidR="008423E4" w:rsidRPr="003624F2" w:rsidRDefault="00691AB2" w:rsidP="00090B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91AB2" w:rsidP="00090BE1">
            <w:pPr>
              <w:rPr>
                <w:b/>
              </w:rPr>
            </w:pPr>
          </w:p>
        </w:tc>
      </w:tr>
    </w:tbl>
    <w:p w:rsidR="008423E4" w:rsidRPr="00BE0E75" w:rsidRDefault="00691A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1A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AB2">
      <w:r>
        <w:separator/>
      </w:r>
    </w:p>
  </w:endnote>
  <w:endnote w:type="continuationSeparator" w:id="0">
    <w:p w:rsidR="00000000" w:rsidRDefault="0069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2083" w:rsidTr="009C1E9A">
      <w:trPr>
        <w:cantSplit/>
      </w:trPr>
      <w:tc>
        <w:tcPr>
          <w:tcW w:w="0" w:type="pct"/>
        </w:tcPr>
        <w:p w:rsidR="00137D90" w:rsidRDefault="00691A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1A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1A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1A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1A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083" w:rsidTr="009C1E9A">
      <w:trPr>
        <w:cantSplit/>
      </w:trPr>
      <w:tc>
        <w:tcPr>
          <w:tcW w:w="0" w:type="pct"/>
        </w:tcPr>
        <w:p w:rsidR="00EC379B" w:rsidRDefault="00691A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1A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33444</w:t>
          </w:r>
        </w:p>
      </w:tc>
      <w:tc>
        <w:tcPr>
          <w:tcW w:w="2453" w:type="pct"/>
        </w:tcPr>
        <w:p w:rsidR="00EC379B" w:rsidRDefault="00691A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19.130.610</w:t>
          </w:r>
          <w:r>
            <w:fldChar w:fldCharType="end"/>
          </w:r>
        </w:p>
      </w:tc>
    </w:tr>
    <w:tr w:rsidR="005E2083" w:rsidTr="009C1E9A">
      <w:trPr>
        <w:cantSplit/>
      </w:trPr>
      <w:tc>
        <w:tcPr>
          <w:tcW w:w="0" w:type="pct"/>
        </w:tcPr>
        <w:p w:rsidR="00EC379B" w:rsidRDefault="00691A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1A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1AB2" w:rsidP="006D504F">
          <w:pPr>
            <w:pStyle w:val="Footer"/>
            <w:rPr>
              <w:rStyle w:val="PageNumber"/>
            </w:rPr>
          </w:pPr>
        </w:p>
        <w:p w:rsidR="00EC379B" w:rsidRDefault="00691A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0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1A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1A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1A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AB2">
      <w:r>
        <w:separator/>
      </w:r>
    </w:p>
  </w:footnote>
  <w:footnote w:type="continuationSeparator" w:id="0">
    <w:p w:rsidR="00000000" w:rsidRDefault="0069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C5C29"/>
    <w:multiLevelType w:val="hybridMultilevel"/>
    <w:tmpl w:val="B87CDE2E"/>
    <w:lvl w:ilvl="0" w:tplc="52A8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C3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2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61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20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D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C2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61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3"/>
    <w:rsid w:val="005E2083"/>
    <w:rsid w:val="006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FD183A-FF35-45FC-868F-7EE2EF8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79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9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1758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SB00815 (Committee Report (Unamended))</vt:lpstr>
    </vt:vector>
  </TitlesOfParts>
  <Company>State of Texas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33444</dc:subject>
  <dc:creator>State of Texas</dc:creator>
  <dc:description>SB 815 by Rodríguez-(H)Criminal Jurisprudence</dc:description>
  <cp:lastModifiedBy>Laura Ramsay</cp:lastModifiedBy>
  <cp:revision>2</cp:revision>
  <cp:lastPrinted>2003-11-26T17:21:00Z</cp:lastPrinted>
  <dcterms:created xsi:type="dcterms:W3CDTF">2019-05-15T23:48:00Z</dcterms:created>
  <dcterms:modified xsi:type="dcterms:W3CDTF">2019-05-15T23:48:00Z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19.130.610</vt:lpwstr>
  </property>
</Properties>
</file>