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B525A" w:rsidTr="00345119">
        <w:tc>
          <w:tcPr>
            <w:tcW w:w="9576" w:type="dxa"/>
            <w:noWrap/>
          </w:tcPr>
          <w:p w:rsidR="008423E4" w:rsidRPr="0022177D" w:rsidRDefault="003D5C5D" w:rsidP="00345119">
            <w:pPr>
              <w:pStyle w:val="Heading1"/>
            </w:pPr>
            <w:bookmarkStart w:id="0" w:name="_GoBack"/>
            <w:bookmarkEnd w:id="0"/>
            <w:r w:rsidRPr="00631897">
              <w:t>BILL ANALYSIS</w:t>
            </w:r>
          </w:p>
        </w:tc>
      </w:tr>
    </w:tbl>
    <w:p w:rsidR="008423E4" w:rsidRPr="0022177D" w:rsidRDefault="003D5C5D" w:rsidP="008423E4">
      <w:pPr>
        <w:jc w:val="center"/>
      </w:pPr>
    </w:p>
    <w:p w:rsidR="008423E4" w:rsidRPr="00B31F0E" w:rsidRDefault="003D5C5D" w:rsidP="008423E4"/>
    <w:p w:rsidR="008423E4" w:rsidRPr="00742794" w:rsidRDefault="003D5C5D" w:rsidP="008423E4">
      <w:pPr>
        <w:tabs>
          <w:tab w:val="right" w:pos="9360"/>
        </w:tabs>
      </w:pPr>
    </w:p>
    <w:tbl>
      <w:tblPr>
        <w:tblW w:w="0" w:type="auto"/>
        <w:tblLayout w:type="fixed"/>
        <w:tblLook w:val="01E0" w:firstRow="1" w:lastRow="1" w:firstColumn="1" w:lastColumn="1" w:noHBand="0" w:noVBand="0"/>
      </w:tblPr>
      <w:tblGrid>
        <w:gridCol w:w="9576"/>
      </w:tblGrid>
      <w:tr w:rsidR="00FB525A" w:rsidTr="00345119">
        <w:tc>
          <w:tcPr>
            <w:tcW w:w="9576" w:type="dxa"/>
          </w:tcPr>
          <w:p w:rsidR="008423E4" w:rsidRPr="00861995" w:rsidRDefault="003D5C5D" w:rsidP="00345119">
            <w:pPr>
              <w:jc w:val="right"/>
            </w:pPr>
            <w:r>
              <w:t>S.B. 869</w:t>
            </w:r>
          </w:p>
        </w:tc>
      </w:tr>
      <w:tr w:rsidR="00FB525A" w:rsidTr="00345119">
        <w:tc>
          <w:tcPr>
            <w:tcW w:w="9576" w:type="dxa"/>
          </w:tcPr>
          <w:p w:rsidR="008423E4" w:rsidRPr="00861995" w:rsidRDefault="003D5C5D" w:rsidP="00512674">
            <w:pPr>
              <w:jc w:val="right"/>
            </w:pPr>
            <w:r>
              <w:t xml:space="preserve">By: </w:t>
            </w:r>
            <w:r>
              <w:t>Zaffirini</w:t>
            </w:r>
          </w:p>
        </w:tc>
      </w:tr>
      <w:tr w:rsidR="00FB525A" w:rsidTr="00345119">
        <w:tc>
          <w:tcPr>
            <w:tcW w:w="9576" w:type="dxa"/>
          </w:tcPr>
          <w:p w:rsidR="008423E4" w:rsidRPr="00861995" w:rsidRDefault="003D5C5D" w:rsidP="00345119">
            <w:pPr>
              <w:jc w:val="right"/>
            </w:pPr>
            <w:r>
              <w:t>Public Education</w:t>
            </w:r>
          </w:p>
        </w:tc>
      </w:tr>
      <w:tr w:rsidR="00FB525A" w:rsidTr="00345119">
        <w:tc>
          <w:tcPr>
            <w:tcW w:w="9576" w:type="dxa"/>
          </w:tcPr>
          <w:p w:rsidR="008423E4" w:rsidRDefault="003D5C5D" w:rsidP="00345119">
            <w:pPr>
              <w:jc w:val="right"/>
            </w:pPr>
            <w:r>
              <w:t>Committee Report (Unamended)</w:t>
            </w:r>
          </w:p>
        </w:tc>
      </w:tr>
    </w:tbl>
    <w:p w:rsidR="008423E4" w:rsidRDefault="003D5C5D" w:rsidP="008423E4">
      <w:pPr>
        <w:tabs>
          <w:tab w:val="right" w:pos="9360"/>
        </w:tabs>
      </w:pPr>
    </w:p>
    <w:p w:rsidR="008423E4" w:rsidRDefault="003D5C5D" w:rsidP="008423E4"/>
    <w:p w:rsidR="008423E4" w:rsidRDefault="003D5C5D" w:rsidP="008423E4"/>
    <w:tbl>
      <w:tblPr>
        <w:tblW w:w="0" w:type="auto"/>
        <w:tblCellMar>
          <w:left w:w="115" w:type="dxa"/>
          <w:right w:w="115" w:type="dxa"/>
        </w:tblCellMar>
        <w:tblLook w:val="01E0" w:firstRow="1" w:lastRow="1" w:firstColumn="1" w:lastColumn="1" w:noHBand="0" w:noVBand="0"/>
      </w:tblPr>
      <w:tblGrid>
        <w:gridCol w:w="9576"/>
      </w:tblGrid>
      <w:tr w:rsidR="00FB525A" w:rsidTr="00345119">
        <w:tc>
          <w:tcPr>
            <w:tcW w:w="9576" w:type="dxa"/>
          </w:tcPr>
          <w:p w:rsidR="008423E4" w:rsidRPr="00A8133F" w:rsidRDefault="003D5C5D" w:rsidP="00F8620D">
            <w:pPr>
              <w:rPr>
                <w:b/>
              </w:rPr>
            </w:pPr>
            <w:r w:rsidRPr="009C1E9A">
              <w:rPr>
                <w:b/>
                <w:u w:val="single"/>
              </w:rPr>
              <w:t>BACKGROUND AND PURPOSE</w:t>
            </w:r>
            <w:r>
              <w:rPr>
                <w:b/>
              </w:rPr>
              <w:t xml:space="preserve"> </w:t>
            </w:r>
          </w:p>
          <w:p w:rsidR="008423E4" w:rsidRDefault="003D5C5D" w:rsidP="00F8620D"/>
          <w:p w:rsidR="008423E4" w:rsidRDefault="003D5C5D" w:rsidP="00F8620D">
            <w:pPr>
              <w:pStyle w:val="Header"/>
              <w:jc w:val="both"/>
            </w:pPr>
            <w:r>
              <w:t>Anaphylaxis is an acute</w:t>
            </w:r>
            <w:r>
              <w:t>, possibly life-threatening,</w:t>
            </w:r>
            <w:r>
              <w:t xml:space="preserve"> allergic reaction that develops rapidly and </w:t>
            </w:r>
            <w:r>
              <w:t>requires</w:t>
            </w:r>
            <w:r>
              <w:t xml:space="preserve"> immediate treatment with epinephrine</w:t>
            </w:r>
            <w:r>
              <w:t>.</w:t>
            </w:r>
            <w:r>
              <w:t xml:space="preserve"> Reports indicate that approximately 5.6 million American children under the age of 18 have food allergies and that more than half of all fatal food allergy reactions are triggered by food consumed outside the home. </w:t>
            </w:r>
            <w:r>
              <w:t>Gi</w:t>
            </w:r>
            <w:r>
              <w:t>ven the</w:t>
            </w:r>
            <w:r>
              <w:t xml:space="preserve"> </w:t>
            </w:r>
            <w:r>
              <w:t xml:space="preserve">possibility </w:t>
            </w:r>
            <w:r>
              <w:t>of a life-threatening reaction for</w:t>
            </w:r>
            <w:r>
              <w:t xml:space="preserve"> public school stude</w:t>
            </w:r>
            <w:r>
              <w:t>nts with serious food allergies, t</w:t>
            </w:r>
            <w:r>
              <w:t xml:space="preserve">here </w:t>
            </w:r>
            <w:r>
              <w:t xml:space="preserve">have been </w:t>
            </w:r>
            <w:r>
              <w:t>calls to update the health guidelines used by public schools to</w:t>
            </w:r>
            <w:r>
              <w:t xml:space="preserve"> further</w:t>
            </w:r>
            <w:r>
              <w:t xml:space="preserve"> ensure the safety of students with food allergies at risk for</w:t>
            </w:r>
            <w:r>
              <w:t xml:space="preserve"> anaphylaxis. </w:t>
            </w:r>
            <w:r>
              <w:t>S</w:t>
            </w:r>
            <w:r>
              <w:t>.B.</w:t>
            </w:r>
            <w:r>
              <w:t> </w:t>
            </w:r>
            <w:r>
              <w:t>869</w:t>
            </w:r>
            <w:r>
              <w:t xml:space="preserve"> seeks to</w:t>
            </w:r>
            <w:r>
              <w:t xml:space="preserve"> do so</w:t>
            </w:r>
            <w:r>
              <w:t xml:space="preserve"> by establishing a committee </w:t>
            </w:r>
            <w:r>
              <w:t xml:space="preserve">to assist the commissioner of state health services in regularly </w:t>
            </w:r>
            <w:r>
              <w:t>updat</w:t>
            </w:r>
            <w:r>
              <w:t>ing</w:t>
            </w:r>
            <w:r>
              <w:t xml:space="preserve"> the Guidelines for the Care of Students with Food Allergies At</w:t>
            </w:r>
            <w:r>
              <w:t>-</w:t>
            </w:r>
            <w:r>
              <w:t xml:space="preserve">Risk for Anaphylaxis. </w:t>
            </w:r>
          </w:p>
          <w:p w:rsidR="008423E4" w:rsidRPr="00E26B13" w:rsidRDefault="003D5C5D" w:rsidP="00F8620D">
            <w:pPr>
              <w:rPr>
                <w:b/>
              </w:rPr>
            </w:pPr>
          </w:p>
        </w:tc>
      </w:tr>
      <w:tr w:rsidR="00FB525A" w:rsidTr="00345119">
        <w:tc>
          <w:tcPr>
            <w:tcW w:w="9576" w:type="dxa"/>
          </w:tcPr>
          <w:p w:rsidR="0017725B" w:rsidRDefault="003D5C5D" w:rsidP="00F8620D">
            <w:pPr>
              <w:rPr>
                <w:b/>
                <w:u w:val="single"/>
              </w:rPr>
            </w:pPr>
            <w:r>
              <w:rPr>
                <w:b/>
                <w:u w:val="single"/>
              </w:rPr>
              <w:t>CRIMINAL JUSTICE IMPACT</w:t>
            </w:r>
          </w:p>
          <w:p w:rsidR="0017725B" w:rsidRDefault="003D5C5D" w:rsidP="00F8620D">
            <w:pPr>
              <w:rPr>
                <w:b/>
                <w:u w:val="single"/>
              </w:rPr>
            </w:pPr>
          </w:p>
          <w:p w:rsidR="00E67481" w:rsidRPr="00E67481" w:rsidRDefault="003D5C5D" w:rsidP="00F8620D">
            <w:pPr>
              <w:jc w:val="both"/>
            </w:pPr>
            <w:r>
              <w:t xml:space="preserve">It </w:t>
            </w:r>
            <w:r>
              <w:t xml:space="preserve">is the committee's opinion that this bill does not expressly create a criminal offense, increase the punishment for an existing criminal offense or category of offenses, or change the eligibility of a person for community supervision, parole, or mandatory </w:t>
            </w:r>
            <w:r>
              <w:t>supervision.</w:t>
            </w:r>
          </w:p>
          <w:p w:rsidR="0017725B" w:rsidRPr="0017725B" w:rsidRDefault="003D5C5D" w:rsidP="00F8620D">
            <w:pPr>
              <w:rPr>
                <w:b/>
                <w:u w:val="single"/>
              </w:rPr>
            </w:pPr>
          </w:p>
        </w:tc>
      </w:tr>
      <w:tr w:rsidR="00FB525A" w:rsidTr="00345119">
        <w:tc>
          <w:tcPr>
            <w:tcW w:w="9576" w:type="dxa"/>
          </w:tcPr>
          <w:p w:rsidR="008423E4" w:rsidRPr="00A8133F" w:rsidRDefault="003D5C5D" w:rsidP="00F8620D">
            <w:pPr>
              <w:rPr>
                <w:b/>
              </w:rPr>
            </w:pPr>
            <w:r w:rsidRPr="009C1E9A">
              <w:rPr>
                <w:b/>
                <w:u w:val="single"/>
              </w:rPr>
              <w:t>RULEMAKING AUTHORITY</w:t>
            </w:r>
            <w:r>
              <w:rPr>
                <w:b/>
              </w:rPr>
              <w:t xml:space="preserve"> </w:t>
            </w:r>
          </w:p>
          <w:p w:rsidR="008423E4" w:rsidRDefault="003D5C5D" w:rsidP="00F8620D"/>
          <w:p w:rsidR="00E67481" w:rsidRDefault="003D5C5D" w:rsidP="00F8620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D5C5D" w:rsidP="00F8620D">
            <w:pPr>
              <w:rPr>
                <w:b/>
              </w:rPr>
            </w:pPr>
          </w:p>
        </w:tc>
      </w:tr>
      <w:tr w:rsidR="00FB525A" w:rsidTr="00345119">
        <w:tc>
          <w:tcPr>
            <w:tcW w:w="9576" w:type="dxa"/>
          </w:tcPr>
          <w:p w:rsidR="008423E4" w:rsidRPr="00A8133F" w:rsidRDefault="003D5C5D" w:rsidP="00F8620D">
            <w:pPr>
              <w:rPr>
                <w:b/>
              </w:rPr>
            </w:pPr>
            <w:r w:rsidRPr="009C1E9A">
              <w:rPr>
                <w:b/>
                <w:u w:val="single"/>
              </w:rPr>
              <w:t>ANALYSIS</w:t>
            </w:r>
            <w:r>
              <w:rPr>
                <w:b/>
              </w:rPr>
              <w:t xml:space="preserve"> </w:t>
            </w:r>
          </w:p>
          <w:p w:rsidR="008423E4" w:rsidRDefault="003D5C5D" w:rsidP="00F8620D"/>
          <w:p w:rsidR="00020E48" w:rsidRDefault="003D5C5D" w:rsidP="00F8620D">
            <w:pPr>
              <w:pStyle w:val="Header"/>
              <w:tabs>
                <w:tab w:val="clear" w:pos="4320"/>
                <w:tab w:val="clear" w:pos="8640"/>
              </w:tabs>
              <w:jc w:val="both"/>
            </w:pPr>
            <w:r>
              <w:t>S.</w:t>
            </w:r>
            <w:r w:rsidRPr="00AD765F">
              <w:t xml:space="preserve">B. </w:t>
            </w:r>
            <w:r>
              <w:t>869</w:t>
            </w:r>
            <w:r w:rsidRPr="00AD765F">
              <w:t xml:space="preserve"> </w:t>
            </w:r>
            <w:r w:rsidRPr="00AD765F">
              <w:t xml:space="preserve">amends the Education Code to require the commissioner of state health services to appoint members to an ad hoc committee to consult with the commissioner on updating the current guidelines </w:t>
            </w:r>
            <w:r>
              <w:t>for the care of students with food allergies at</w:t>
            </w:r>
            <w:r>
              <w:t xml:space="preserve"> </w:t>
            </w:r>
            <w:r>
              <w:t>risk for anaphylaxi</w:t>
            </w:r>
            <w:r>
              <w:t xml:space="preserve">s </w:t>
            </w:r>
            <w:r>
              <w:t>for purposes of</w:t>
            </w:r>
            <w:r w:rsidRPr="00AD765F">
              <w:t xml:space="preserve"> incorporat</w:t>
            </w:r>
            <w:r>
              <w:t>ing</w:t>
            </w:r>
            <w:r w:rsidRPr="00AD765F">
              <w:t xml:space="preserve"> and specifically referenc</w:t>
            </w:r>
            <w:r>
              <w:t>ing</w:t>
            </w:r>
            <w:r w:rsidRPr="00AD765F">
              <w:t xml:space="preserve"> any new food-allergy management best practices and treatments, including new methods, treatments, and therapies to reduce the risk of allerg</w:t>
            </w:r>
            <w:r>
              <w:t xml:space="preserve">ic reactions. </w:t>
            </w:r>
          </w:p>
          <w:p w:rsidR="00020E48" w:rsidRDefault="003D5C5D" w:rsidP="00F8620D">
            <w:pPr>
              <w:pStyle w:val="Header"/>
              <w:tabs>
                <w:tab w:val="clear" w:pos="4320"/>
                <w:tab w:val="clear" w:pos="8640"/>
              </w:tabs>
              <w:jc w:val="both"/>
            </w:pPr>
          </w:p>
          <w:p w:rsidR="00020E48" w:rsidRDefault="003D5C5D" w:rsidP="00F8620D">
            <w:pPr>
              <w:pStyle w:val="Header"/>
              <w:tabs>
                <w:tab w:val="clear" w:pos="4320"/>
                <w:tab w:val="clear" w:pos="8640"/>
              </w:tabs>
              <w:jc w:val="both"/>
            </w:pPr>
            <w:r>
              <w:t>S.</w:t>
            </w:r>
            <w:r w:rsidRPr="00AD765F">
              <w:t xml:space="preserve">B. </w:t>
            </w:r>
            <w:r>
              <w:t xml:space="preserve">869 </w:t>
            </w:r>
            <w:r w:rsidRPr="00AD765F">
              <w:t>sets out the composition of th</w:t>
            </w:r>
            <w:r w:rsidRPr="00AD765F">
              <w:t>e ad hoc committee</w:t>
            </w:r>
            <w:r>
              <w:t>, requires the commissioner to appoint the committee members not later than October 1, 2019,</w:t>
            </w:r>
            <w:r w:rsidRPr="00AD765F">
              <w:t xml:space="preserve"> and </w:t>
            </w:r>
            <w:r>
              <w:t xml:space="preserve">requires </w:t>
            </w:r>
            <w:r w:rsidRPr="00AD765F">
              <w:t xml:space="preserve">that committee members serve for a period determined by the commissioner. The bill requires the commissioner, on the resignation of </w:t>
            </w:r>
            <w:r w:rsidRPr="00AD765F">
              <w:t xml:space="preserve">a member of the committee or the removal of a member from the committee by the commissioner, to appoint a new member to the committee who qualifies for the committee in the same manner that the member who resigned or is removed qualified. </w:t>
            </w:r>
          </w:p>
          <w:p w:rsidR="00020E48" w:rsidRPr="008D0B17" w:rsidRDefault="003D5C5D" w:rsidP="00F8620D">
            <w:pPr>
              <w:pStyle w:val="Header"/>
              <w:tabs>
                <w:tab w:val="clear" w:pos="4320"/>
                <w:tab w:val="clear" w:pos="8640"/>
              </w:tabs>
              <w:jc w:val="both"/>
              <w:rPr>
                <w:sz w:val="22"/>
              </w:rPr>
            </w:pPr>
          </w:p>
          <w:p w:rsidR="00CD130F" w:rsidRDefault="003D5C5D" w:rsidP="00F8620D">
            <w:pPr>
              <w:pStyle w:val="Header"/>
              <w:tabs>
                <w:tab w:val="clear" w:pos="4320"/>
                <w:tab w:val="clear" w:pos="8640"/>
              </w:tabs>
              <w:jc w:val="both"/>
            </w:pPr>
            <w:r>
              <w:t>S.</w:t>
            </w:r>
            <w:r w:rsidRPr="00AD765F">
              <w:t xml:space="preserve">B. </w:t>
            </w:r>
            <w:r>
              <w:t xml:space="preserve">869 </w:t>
            </w:r>
            <w:r w:rsidRPr="00AD765F">
              <w:t>exempt</w:t>
            </w:r>
            <w:r w:rsidRPr="00AD765F">
              <w:t xml:space="preserve">s the ad hoc committee from </w:t>
            </w:r>
            <w:r>
              <w:t xml:space="preserve">certain </w:t>
            </w:r>
            <w:r>
              <w:t xml:space="preserve">statutory </w:t>
            </w:r>
            <w:r w:rsidRPr="00AD765F">
              <w:t>provision</w:t>
            </w:r>
            <w:r>
              <w:t>s governing state agency advisory committees</w:t>
            </w:r>
            <w:r w:rsidRPr="00AD765F">
              <w:t>.</w:t>
            </w:r>
            <w:r>
              <w:t xml:space="preserve"> The bill requires</w:t>
            </w:r>
            <w:r>
              <w:t xml:space="preserve"> any recommendations on updating the current guidelines</w:t>
            </w:r>
            <w:r>
              <w:t xml:space="preserve"> regarding medical treatment or</w:t>
            </w:r>
            <w:r>
              <w:t xml:space="preserve"> therapies to be submitted by physicians </w:t>
            </w:r>
            <w:r>
              <w:t xml:space="preserve">serving on the committee </w:t>
            </w:r>
            <w:r>
              <w:t>directly to the commissioner, provided that those recommendations may only be submitted to the commissioner if approved by a majority of the physicians</w:t>
            </w:r>
            <w:r>
              <w:t>.</w:t>
            </w:r>
            <w:r w:rsidRPr="00AD765F">
              <w:t xml:space="preserve"> </w:t>
            </w:r>
          </w:p>
          <w:p w:rsidR="00CD130F" w:rsidRDefault="003D5C5D" w:rsidP="00F8620D">
            <w:pPr>
              <w:pStyle w:val="Header"/>
              <w:tabs>
                <w:tab w:val="clear" w:pos="4320"/>
                <w:tab w:val="clear" w:pos="8640"/>
              </w:tabs>
              <w:jc w:val="both"/>
            </w:pPr>
          </w:p>
          <w:p w:rsidR="006B1595" w:rsidRDefault="003D5C5D" w:rsidP="00F8620D">
            <w:pPr>
              <w:pStyle w:val="Header"/>
              <w:tabs>
                <w:tab w:val="clear" w:pos="4320"/>
                <w:tab w:val="clear" w:pos="8640"/>
              </w:tabs>
              <w:jc w:val="both"/>
            </w:pPr>
            <w:r>
              <w:t>S.</w:t>
            </w:r>
            <w:r>
              <w:t xml:space="preserve">B. </w:t>
            </w:r>
            <w:r>
              <w:t>869</w:t>
            </w:r>
            <w:r w:rsidRPr="00AD765F">
              <w:t xml:space="preserve"> </w:t>
            </w:r>
            <w:r w:rsidRPr="00AD765F">
              <w:t xml:space="preserve">requires the </w:t>
            </w:r>
            <w:r>
              <w:t xml:space="preserve">commissioner </w:t>
            </w:r>
            <w:r w:rsidRPr="00AD765F">
              <w:t xml:space="preserve">to order a </w:t>
            </w:r>
            <w:r>
              <w:t xml:space="preserve">committee </w:t>
            </w:r>
            <w:r w:rsidRPr="00AD765F">
              <w:t>meeting to update th</w:t>
            </w:r>
            <w:r w:rsidRPr="00AD765F">
              <w:t xml:space="preserve">e guidelines </w:t>
            </w:r>
            <w:r>
              <w:t>for purposes of</w:t>
            </w:r>
            <w:r w:rsidRPr="00AD765F">
              <w:t xml:space="preserve"> incorporat</w:t>
            </w:r>
            <w:r>
              <w:t>ing</w:t>
            </w:r>
            <w:r w:rsidRPr="00AD765F">
              <w:t xml:space="preserve"> any new food</w:t>
            </w:r>
            <w:r>
              <w:noBreakHyphen/>
            </w:r>
            <w:r w:rsidRPr="00AD765F">
              <w:t>allergy management best practices and treatments at least on</w:t>
            </w:r>
            <w:r>
              <w:t>c</w:t>
            </w:r>
            <w:r w:rsidRPr="00AD765F">
              <w:t xml:space="preserve">e every three years </w:t>
            </w:r>
            <w:r>
              <w:t xml:space="preserve">and </w:t>
            </w:r>
            <w:r w:rsidRPr="00AD765F">
              <w:t>authorizes the commissioner to order a</w:t>
            </w:r>
            <w:r>
              <w:t xml:space="preserve"> committee</w:t>
            </w:r>
            <w:r w:rsidRPr="00AD765F">
              <w:t xml:space="preserve"> meeting at any time the commissioner determines necessary for the </w:t>
            </w:r>
            <w:r w:rsidRPr="00AD765F">
              <w:t xml:space="preserve">committee to discuss the protection of students with food allergies at risk for anaphylaxis and </w:t>
            </w:r>
            <w:r>
              <w:t xml:space="preserve">to </w:t>
            </w:r>
            <w:r w:rsidRPr="00AD765F">
              <w:t>update the guidelines.</w:t>
            </w:r>
            <w:r>
              <w:t xml:space="preserve"> The bill specifies that the guidelines and any recommendation to update the guidelines regarding medical treatment or therapy must be </w:t>
            </w:r>
            <w:r>
              <w:t>scientifically valid.</w:t>
            </w:r>
            <w:r>
              <w:t xml:space="preserve"> The bill requires the commissioner, in consultation with the ad hoc committee, to update the guidelines as necessary not later than March 1, 2020.</w:t>
            </w:r>
          </w:p>
          <w:p w:rsidR="006B1595" w:rsidRDefault="003D5C5D" w:rsidP="00F8620D">
            <w:pPr>
              <w:pStyle w:val="Header"/>
              <w:tabs>
                <w:tab w:val="clear" w:pos="4320"/>
                <w:tab w:val="clear" w:pos="8640"/>
              </w:tabs>
              <w:jc w:val="both"/>
            </w:pPr>
          </w:p>
          <w:p w:rsidR="00BA76E9" w:rsidRDefault="003D5C5D" w:rsidP="00F8620D">
            <w:pPr>
              <w:pStyle w:val="Header"/>
              <w:tabs>
                <w:tab w:val="clear" w:pos="4320"/>
                <w:tab w:val="clear" w:pos="8640"/>
              </w:tabs>
              <w:jc w:val="both"/>
            </w:pPr>
            <w:r>
              <w:t>S.</w:t>
            </w:r>
            <w:r>
              <w:t xml:space="preserve">B. </w:t>
            </w:r>
            <w:r>
              <w:t xml:space="preserve">869 </w:t>
            </w:r>
            <w:r>
              <w:t>revises the requirement for each public school district and open</w:t>
            </w:r>
            <w:r>
              <w:noBreakHyphen/>
              <w:t>enrollment c</w:t>
            </w:r>
            <w:r>
              <w:t>harter school that implement</w:t>
            </w:r>
            <w:r>
              <w:t>s</w:t>
            </w:r>
            <w:r>
              <w:t xml:space="preserve"> a policy for the care of students with a diagnosed food allergy at risk for anaphylaxis to review and </w:t>
            </w:r>
            <w:r>
              <w:t xml:space="preserve">revise </w:t>
            </w:r>
            <w:r>
              <w:t>the</w:t>
            </w:r>
            <w:r>
              <w:t xml:space="preserve"> policy to ensure consistency with the guidelines by requiring that the district or school annually review and</w:t>
            </w:r>
            <w:r>
              <w:t>,</w:t>
            </w:r>
            <w:r>
              <w:t xml:space="preserve"> </w:t>
            </w:r>
            <w:r>
              <w:t>as</w:t>
            </w:r>
            <w:r>
              <w:t xml:space="preserve"> necessary, </w:t>
            </w:r>
            <w:r>
              <w:t xml:space="preserve">revise the policy to ensure consistency with the most current version of the guidelines as updated by the commissioner. </w:t>
            </w:r>
          </w:p>
          <w:p w:rsidR="00BA76E9" w:rsidRDefault="003D5C5D" w:rsidP="00F8620D">
            <w:pPr>
              <w:pStyle w:val="Header"/>
              <w:tabs>
                <w:tab w:val="clear" w:pos="4320"/>
                <w:tab w:val="clear" w:pos="8640"/>
              </w:tabs>
              <w:jc w:val="both"/>
            </w:pPr>
          </w:p>
          <w:p w:rsidR="00020E48" w:rsidRDefault="003D5C5D" w:rsidP="00F8620D">
            <w:pPr>
              <w:pStyle w:val="Header"/>
              <w:tabs>
                <w:tab w:val="clear" w:pos="4320"/>
                <w:tab w:val="clear" w:pos="8640"/>
              </w:tabs>
              <w:jc w:val="both"/>
            </w:pPr>
            <w:r>
              <w:t>S.</w:t>
            </w:r>
            <w:r>
              <w:t xml:space="preserve">B. </w:t>
            </w:r>
            <w:r>
              <w:t xml:space="preserve">869 </w:t>
            </w:r>
            <w:r>
              <w:t>requir</w:t>
            </w:r>
            <w:r>
              <w:t xml:space="preserve">es the </w:t>
            </w:r>
            <w:r w:rsidRPr="00AD765F">
              <w:t xml:space="preserve">guidelines </w:t>
            </w:r>
            <w:r>
              <w:t xml:space="preserve">for the care of students with food allergies at risk for anaphylaxis </w:t>
            </w:r>
            <w:r>
              <w:t xml:space="preserve">posted on the Texas Education Agency (TEA) </w:t>
            </w:r>
            <w:r>
              <w:t>website with any other information relating to students with special health needs to include a summary of the guidelines and requires</w:t>
            </w:r>
            <w:r>
              <w:t xml:space="preserve"> TEA </w:t>
            </w:r>
            <w:r>
              <w:t xml:space="preserve">annually </w:t>
            </w:r>
            <w:r>
              <w:t xml:space="preserve">to review and, as necessary, revise </w:t>
            </w:r>
            <w:r>
              <w:t>the</w:t>
            </w:r>
            <w:r>
              <w:t xml:space="preserve"> summary and any other info</w:t>
            </w:r>
            <w:r>
              <w:t>rmation to reflect the most current version of the guidelines.</w:t>
            </w:r>
            <w:r>
              <w:t xml:space="preserve"> </w:t>
            </w:r>
            <w:r>
              <w:t>The bill requires the board of trustees of each district and the governi</w:t>
            </w:r>
            <w:r>
              <w:t xml:space="preserve">ng body of each charter school </w:t>
            </w:r>
            <w:r>
              <w:t xml:space="preserve">to </w:t>
            </w:r>
            <w:r>
              <w:t xml:space="preserve">post </w:t>
            </w:r>
            <w:r>
              <w:t>each school year</w:t>
            </w:r>
            <w:r>
              <w:t xml:space="preserve"> a </w:t>
            </w:r>
            <w:r>
              <w:t xml:space="preserve">summary </w:t>
            </w:r>
            <w:r>
              <w:t>of the guidelines on</w:t>
            </w:r>
            <w:r>
              <w:t xml:space="preserve"> the</w:t>
            </w:r>
            <w:r>
              <w:t xml:space="preserve"> district's or </w:t>
            </w:r>
            <w:r>
              <w:t xml:space="preserve">charter </w:t>
            </w:r>
            <w:r>
              <w:t>school's</w:t>
            </w:r>
            <w:r>
              <w:t xml:space="preserve"> website</w:t>
            </w:r>
            <w:r>
              <w:t xml:space="preserve">, including instructions on obtaining access to the complete guidelines document, and requires </w:t>
            </w:r>
            <w:r>
              <w:t>the applicable</w:t>
            </w:r>
            <w:r>
              <w:t xml:space="preserve"> website to be accessible by</w:t>
            </w:r>
            <w:r>
              <w:t xml:space="preserve"> each student enrolled in the district or </w:t>
            </w:r>
            <w:r>
              <w:t xml:space="preserve">charter </w:t>
            </w:r>
            <w:r>
              <w:t>school and a parent or guardian of each student.</w:t>
            </w:r>
            <w:r>
              <w:t xml:space="preserve"> </w:t>
            </w:r>
          </w:p>
          <w:p w:rsidR="00020E48" w:rsidRDefault="003D5C5D" w:rsidP="00F8620D">
            <w:pPr>
              <w:pStyle w:val="Header"/>
              <w:tabs>
                <w:tab w:val="clear" w:pos="4320"/>
                <w:tab w:val="clear" w:pos="8640"/>
              </w:tabs>
              <w:jc w:val="both"/>
            </w:pPr>
          </w:p>
          <w:p w:rsidR="00E67481" w:rsidRDefault="003D5C5D" w:rsidP="00F8620D">
            <w:pPr>
              <w:pStyle w:val="Header"/>
              <w:tabs>
                <w:tab w:val="clear" w:pos="4320"/>
                <w:tab w:val="clear" w:pos="8640"/>
              </w:tabs>
              <w:jc w:val="both"/>
            </w:pPr>
            <w:r>
              <w:t xml:space="preserve">S.B. </w:t>
            </w:r>
            <w:r>
              <w:t xml:space="preserve">869 </w:t>
            </w:r>
            <w:r>
              <w:t>r</w:t>
            </w:r>
            <w:r>
              <w:t xml:space="preserve">equires any forms used by a district or </w:t>
            </w:r>
            <w:r>
              <w:t xml:space="preserve">charter </w:t>
            </w:r>
            <w:r>
              <w:t xml:space="preserve">school requesting information from a parent or guardian enrolling a child with a food allergy in the district or </w:t>
            </w:r>
            <w:r>
              <w:t xml:space="preserve">charter </w:t>
            </w:r>
            <w:r>
              <w:t>school to include information to access on the applicable website the summary of the gu</w:t>
            </w:r>
            <w:r>
              <w:t>idelines and instructions on obtaining access to the complete guidelines document.</w:t>
            </w:r>
          </w:p>
          <w:p w:rsidR="007B1812" w:rsidRDefault="003D5C5D" w:rsidP="00F8620D">
            <w:pPr>
              <w:pStyle w:val="Header"/>
              <w:tabs>
                <w:tab w:val="clear" w:pos="4320"/>
                <w:tab w:val="clear" w:pos="8640"/>
              </w:tabs>
              <w:jc w:val="both"/>
            </w:pPr>
          </w:p>
          <w:p w:rsidR="007B1812" w:rsidRDefault="003D5C5D" w:rsidP="00F8620D">
            <w:pPr>
              <w:pStyle w:val="Header"/>
              <w:tabs>
                <w:tab w:val="clear" w:pos="4320"/>
                <w:tab w:val="clear" w:pos="8640"/>
              </w:tabs>
              <w:jc w:val="both"/>
            </w:pPr>
            <w:r>
              <w:t>S.B</w:t>
            </w:r>
            <w:r>
              <w:t xml:space="preserve">. </w:t>
            </w:r>
            <w:r>
              <w:t xml:space="preserve">869 </w:t>
            </w:r>
            <w:r>
              <w:t xml:space="preserve">prohibits the guidelines </w:t>
            </w:r>
            <w:r>
              <w:t>from:</w:t>
            </w:r>
          </w:p>
          <w:p w:rsidR="007B1812" w:rsidRDefault="003D5C5D" w:rsidP="00F8620D">
            <w:pPr>
              <w:pStyle w:val="Header"/>
              <w:numPr>
                <w:ilvl w:val="0"/>
                <w:numId w:val="2"/>
              </w:numPr>
              <w:tabs>
                <w:tab w:val="clear" w:pos="4320"/>
                <w:tab w:val="clear" w:pos="8640"/>
              </w:tabs>
              <w:spacing w:before="120" w:after="120"/>
              <w:jc w:val="both"/>
            </w:pPr>
            <w:r>
              <w:t xml:space="preserve">requiring a district or charter school </w:t>
            </w:r>
            <w:r w:rsidRPr="007B1812">
              <w:t>to purchase treatmen</w:t>
            </w:r>
            <w:r>
              <w:t xml:space="preserve">ts approved by the </w:t>
            </w:r>
            <w:r>
              <w:t>U.S. Food and Drug Administration (</w:t>
            </w:r>
            <w:r>
              <w:t>FDA</w:t>
            </w:r>
            <w:r>
              <w:t>)</w:t>
            </w:r>
            <w:r w:rsidRPr="007B1812">
              <w:t xml:space="preserve"> or make any other expenditure that would result in a negative fiscal impact on the district or </w:t>
            </w:r>
            <w:r>
              <w:t xml:space="preserve">charter </w:t>
            </w:r>
            <w:r w:rsidRPr="007B1812">
              <w:t>school</w:t>
            </w:r>
            <w:r>
              <w:t>; or</w:t>
            </w:r>
          </w:p>
          <w:p w:rsidR="007B1812" w:rsidRDefault="003D5C5D" w:rsidP="00F8620D">
            <w:pPr>
              <w:pStyle w:val="Header"/>
              <w:numPr>
                <w:ilvl w:val="0"/>
                <w:numId w:val="2"/>
              </w:numPr>
              <w:tabs>
                <w:tab w:val="clear" w:pos="4320"/>
                <w:tab w:val="clear" w:pos="8640"/>
              </w:tabs>
              <w:jc w:val="both"/>
            </w:pPr>
            <w:r>
              <w:t xml:space="preserve">requiring the personnel of a district or </w:t>
            </w:r>
            <w:r>
              <w:t xml:space="preserve">charter </w:t>
            </w:r>
            <w:r>
              <w:t xml:space="preserve">school to </w:t>
            </w:r>
            <w:r w:rsidRPr="007B1812">
              <w:t xml:space="preserve">administer treatments approved by the </w:t>
            </w:r>
            <w:r>
              <w:t>FDA</w:t>
            </w:r>
            <w:r w:rsidRPr="007B1812">
              <w:t xml:space="preserve"> to a student unless the medication is pr</w:t>
            </w:r>
            <w:r w:rsidRPr="007B1812">
              <w:t>escribed for that student by the student's physician.</w:t>
            </w:r>
          </w:p>
          <w:p w:rsidR="003A0BF1" w:rsidRDefault="003D5C5D" w:rsidP="00F8620D">
            <w:pPr>
              <w:pStyle w:val="Header"/>
              <w:tabs>
                <w:tab w:val="clear" w:pos="4320"/>
                <w:tab w:val="clear" w:pos="8640"/>
              </w:tabs>
              <w:jc w:val="both"/>
            </w:pPr>
          </w:p>
          <w:p w:rsidR="00BB073F" w:rsidRDefault="003D5C5D" w:rsidP="00F8620D">
            <w:pPr>
              <w:pStyle w:val="Header"/>
              <w:tabs>
                <w:tab w:val="clear" w:pos="4320"/>
                <w:tab w:val="clear" w:pos="8640"/>
              </w:tabs>
              <w:jc w:val="both"/>
            </w:pPr>
            <w:r>
              <w:t xml:space="preserve">S.B. </w:t>
            </w:r>
            <w:r>
              <w:t xml:space="preserve">869 </w:t>
            </w:r>
            <w:r>
              <w:t>establishes that</w:t>
            </w:r>
            <w:r>
              <w:t xml:space="preserve"> provisions relating to</w:t>
            </w:r>
            <w:r>
              <w:t xml:space="preserve"> policies for the care of certain students at risk for anaphylaxis do not</w:t>
            </w:r>
            <w:r>
              <w:t>:</w:t>
            </w:r>
            <w:r>
              <w:t xml:space="preserve"> </w:t>
            </w:r>
          </w:p>
          <w:p w:rsidR="00BB073F" w:rsidRDefault="003D5C5D" w:rsidP="00F8620D">
            <w:pPr>
              <w:pStyle w:val="Header"/>
              <w:numPr>
                <w:ilvl w:val="0"/>
                <w:numId w:val="5"/>
              </w:numPr>
              <w:tabs>
                <w:tab w:val="clear" w:pos="4320"/>
                <w:tab w:val="clear" w:pos="8640"/>
              </w:tabs>
              <w:spacing w:before="120" w:after="120"/>
              <w:jc w:val="both"/>
            </w:pPr>
            <w:r>
              <w:t>waive any liability</w:t>
            </w:r>
            <w:r>
              <w:t xml:space="preserve"> or immunity of a district or charter school or district or school officers or employees</w:t>
            </w:r>
            <w:r>
              <w:t>;</w:t>
            </w:r>
            <w:r>
              <w:t xml:space="preserve"> or </w:t>
            </w:r>
          </w:p>
          <w:p w:rsidR="00BB073F" w:rsidRDefault="003D5C5D" w:rsidP="00F8620D">
            <w:pPr>
              <w:pStyle w:val="Header"/>
              <w:numPr>
                <w:ilvl w:val="0"/>
                <w:numId w:val="5"/>
              </w:numPr>
              <w:tabs>
                <w:tab w:val="clear" w:pos="4320"/>
                <w:tab w:val="clear" w:pos="8640"/>
              </w:tabs>
              <w:jc w:val="both"/>
            </w:pPr>
            <w:r>
              <w:t xml:space="preserve">create any liability for those entities or individuals. </w:t>
            </w:r>
          </w:p>
          <w:p w:rsidR="00BB073F" w:rsidRDefault="003D5C5D" w:rsidP="00F8620D">
            <w:pPr>
              <w:pStyle w:val="Header"/>
              <w:tabs>
                <w:tab w:val="clear" w:pos="4320"/>
                <w:tab w:val="clear" w:pos="8640"/>
              </w:tabs>
              <w:jc w:val="both"/>
            </w:pPr>
          </w:p>
          <w:p w:rsidR="00512113" w:rsidRDefault="003D5C5D" w:rsidP="00F8620D">
            <w:pPr>
              <w:pStyle w:val="Header"/>
              <w:tabs>
                <w:tab w:val="clear" w:pos="4320"/>
                <w:tab w:val="clear" w:pos="8640"/>
              </w:tabs>
              <w:jc w:val="both"/>
            </w:pPr>
            <w:r>
              <w:t xml:space="preserve">S.B. </w:t>
            </w:r>
            <w:r>
              <w:t xml:space="preserve">869 </w:t>
            </w:r>
            <w:r>
              <w:t>establishes that those provisions</w:t>
            </w:r>
            <w:r>
              <w:t xml:space="preserve"> relating to such policies</w:t>
            </w:r>
            <w:r>
              <w:t>, including any information or mater</w:t>
            </w:r>
            <w:r>
              <w:t xml:space="preserve">ials developed and the dissemination of </w:t>
            </w:r>
            <w:r>
              <w:t>such</w:t>
            </w:r>
            <w:r>
              <w:t xml:space="preserve"> </w:t>
            </w:r>
            <w:r>
              <w:t xml:space="preserve">information or material </w:t>
            </w:r>
            <w:r>
              <w:t xml:space="preserve">under the provisions, </w:t>
            </w:r>
            <w:r>
              <w:t xml:space="preserve">do </w:t>
            </w:r>
            <w:r>
              <w:t>not create a civil, criminal, or administrative cause of action or liability or create a standard of care, obligation, or duty that provides the basis for a cause</w:t>
            </w:r>
            <w:r>
              <w:t xml:space="preserve"> of action.</w:t>
            </w:r>
          </w:p>
          <w:p w:rsidR="008423E4" w:rsidRPr="00835628" w:rsidRDefault="003D5C5D" w:rsidP="00F8620D">
            <w:pPr>
              <w:rPr>
                <w:b/>
              </w:rPr>
            </w:pPr>
          </w:p>
        </w:tc>
      </w:tr>
      <w:tr w:rsidR="00FB525A" w:rsidTr="00345119">
        <w:tc>
          <w:tcPr>
            <w:tcW w:w="9576" w:type="dxa"/>
          </w:tcPr>
          <w:p w:rsidR="008423E4" w:rsidRPr="00A8133F" w:rsidRDefault="003D5C5D" w:rsidP="00F8620D">
            <w:pPr>
              <w:rPr>
                <w:b/>
              </w:rPr>
            </w:pPr>
            <w:r w:rsidRPr="009C1E9A">
              <w:rPr>
                <w:b/>
                <w:u w:val="single"/>
              </w:rPr>
              <w:t>EFFECTIVE DATE</w:t>
            </w:r>
            <w:r>
              <w:rPr>
                <w:b/>
              </w:rPr>
              <w:t xml:space="preserve"> </w:t>
            </w:r>
          </w:p>
          <w:p w:rsidR="008423E4" w:rsidRDefault="003D5C5D" w:rsidP="00F8620D"/>
          <w:p w:rsidR="008423E4" w:rsidRPr="00233FDB" w:rsidRDefault="003D5C5D" w:rsidP="00F8620D">
            <w:pPr>
              <w:pStyle w:val="Header"/>
              <w:tabs>
                <w:tab w:val="clear" w:pos="4320"/>
                <w:tab w:val="clear" w:pos="8640"/>
              </w:tabs>
              <w:jc w:val="both"/>
            </w:pPr>
            <w:r>
              <w:t>On passage, or, if the bill does not receive the necessary vote, September 1, 2019.</w:t>
            </w:r>
          </w:p>
        </w:tc>
      </w:tr>
      <w:tr w:rsidR="00FB525A" w:rsidTr="00345119">
        <w:tc>
          <w:tcPr>
            <w:tcW w:w="9576" w:type="dxa"/>
          </w:tcPr>
          <w:p w:rsidR="00981E70" w:rsidRPr="00981E70" w:rsidRDefault="003D5C5D" w:rsidP="00F8620D">
            <w:pPr>
              <w:jc w:val="both"/>
            </w:pPr>
          </w:p>
        </w:tc>
      </w:tr>
    </w:tbl>
    <w:p w:rsidR="004108C3" w:rsidRPr="008423E4" w:rsidRDefault="003D5C5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5C5D">
      <w:r>
        <w:separator/>
      </w:r>
    </w:p>
  </w:endnote>
  <w:endnote w:type="continuationSeparator" w:id="0">
    <w:p w:rsidR="00000000" w:rsidRDefault="003D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BA" w:rsidRDefault="003D5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B525A" w:rsidTr="009C1E9A">
      <w:trPr>
        <w:cantSplit/>
      </w:trPr>
      <w:tc>
        <w:tcPr>
          <w:tcW w:w="0" w:type="pct"/>
        </w:tcPr>
        <w:p w:rsidR="00137D90" w:rsidRDefault="003D5C5D" w:rsidP="009C1E9A">
          <w:pPr>
            <w:pStyle w:val="Footer"/>
            <w:tabs>
              <w:tab w:val="clear" w:pos="8640"/>
              <w:tab w:val="right" w:pos="9360"/>
            </w:tabs>
          </w:pPr>
        </w:p>
      </w:tc>
      <w:tc>
        <w:tcPr>
          <w:tcW w:w="2395" w:type="pct"/>
        </w:tcPr>
        <w:p w:rsidR="00137D90" w:rsidRDefault="003D5C5D" w:rsidP="009C1E9A">
          <w:pPr>
            <w:pStyle w:val="Footer"/>
            <w:tabs>
              <w:tab w:val="clear" w:pos="8640"/>
              <w:tab w:val="right" w:pos="9360"/>
            </w:tabs>
          </w:pPr>
        </w:p>
        <w:p w:rsidR="001A4310" w:rsidRDefault="003D5C5D" w:rsidP="009C1E9A">
          <w:pPr>
            <w:pStyle w:val="Footer"/>
            <w:tabs>
              <w:tab w:val="clear" w:pos="8640"/>
              <w:tab w:val="right" w:pos="9360"/>
            </w:tabs>
          </w:pPr>
        </w:p>
        <w:p w:rsidR="00137D90" w:rsidRDefault="003D5C5D" w:rsidP="009C1E9A">
          <w:pPr>
            <w:pStyle w:val="Footer"/>
            <w:tabs>
              <w:tab w:val="clear" w:pos="8640"/>
              <w:tab w:val="right" w:pos="9360"/>
            </w:tabs>
          </w:pPr>
        </w:p>
      </w:tc>
      <w:tc>
        <w:tcPr>
          <w:tcW w:w="2453" w:type="pct"/>
        </w:tcPr>
        <w:p w:rsidR="00137D90" w:rsidRDefault="003D5C5D" w:rsidP="009C1E9A">
          <w:pPr>
            <w:pStyle w:val="Footer"/>
            <w:tabs>
              <w:tab w:val="clear" w:pos="8640"/>
              <w:tab w:val="right" w:pos="9360"/>
            </w:tabs>
            <w:jc w:val="right"/>
          </w:pPr>
        </w:p>
      </w:tc>
    </w:tr>
    <w:tr w:rsidR="00FB525A" w:rsidTr="009C1E9A">
      <w:trPr>
        <w:cantSplit/>
      </w:trPr>
      <w:tc>
        <w:tcPr>
          <w:tcW w:w="0" w:type="pct"/>
        </w:tcPr>
        <w:p w:rsidR="00EC379B" w:rsidRDefault="003D5C5D" w:rsidP="009C1E9A">
          <w:pPr>
            <w:pStyle w:val="Footer"/>
            <w:tabs>
              <w:tab w:val="clear" w:pos="8640"/>
              <w:tab w:val="right" w:pos="9360"/>
            </w:tabs>
          </w:pPr>
        </w:p>
      </w:tc>
      <w:tc>
        <w:tcPr>
          <w:tcW w:w="2395" w:type="pct"/>
        </w:tcPr>
        <w:p w:rsidR="00EC379B" w:rsidRPr="009C1E9A" w:rsidRDefault="003D5C5D" w:rsidP="009C1E9A">
          <w:pPr>
            <w:pStyle w:val="Footer"/>
            <w:tabs>
              <w:tab w:val="clear" w:pos="8640"/>
              <w:tab w:val="right" w:pos="9360"/>
            </w:tabs>
            <w:rPr>
              <w:rFonts w:ascii="Shruti" w:hAnsi="Shruti"/>
              <w:sz w:val="22"/>
            </w:rPr>
          </w:pPr>
          <w:r>
            <w:rPr>
              <w:rFonts w:ascii="Shruti" w:hAnsi="Shruti"/>
              <w:sz w:val="22"/>
            </w:rPr>
            <w:t>86R 33922</w:t>
          </w:r>
        </w:p>
      </w:tc>
      <w:tc>
        <w:tcPr>
          <w:tcW w:w="2453" w:type="pct"/>
        </w:tcPr>
        <w:p w:rsidR="00EC379B" w:rsidRDefault="003D5C5D" w:rsidP="009C1E9A">
          <w:pPr>
            <w:pStyle w:val="Footer"/>
            <w:tabs>
              <w:tab w:val="clear" w:pos="8640"/>
              <w:tab w:val="right" w:pos="9360"/>
            </w:tabs>
            <w:jc w:val="right"/>
          </w:pPr>
          <w:r>
            <w:fldChar w:fldCharType="begin"/>
          </w:r>
          <w:r>
            <w:instrText xml:space="preserve"> DOCPROPERTY  OTID  \* MERGEFORMAT </w:instrText>
          </w:r>
          <w:r>
            <w:fldChar w:fldCharType="separate"/>
          </w:r>
          <w:r>
            <w:t>19.134.901</w:t>
          </w:r>
          <w:r>
            <w:fldChar w:fldCharType="end"/>
          </w:r>
        </w:p>
      </w:tc>
    </w:tr>
    <w:tr w:rsidR="00FB525A" w:rsidTr="009C1E9A">
      <w:trPr>
        <w:cantSplit/>
      </w:trPr>
      <w:tc>
        <w:tcPr>
          <w:tcW w:w="0" w:type="pct"/>
        </w:tcPr>
        <w:p w:rsidR="00EC379B" w:rsidRDefault="003D5C5D" w:rsidP="009C1E9A">
          <w:pPr>
            <w:pStyle w:val="Footer"/>
            <w:tabs>
              <w:tab w:val="clear" w:pos="4320"/>
              <w:tab w:val="clear" w:pos="8640"/>
              <w:tab w:val="left" w:pos="2865"/>
            </w:tabs>
          </w:pPr>
        </w:p>
      </w:tc>
      <w:tc>
        <w:tcPr>
          <w:tcW w:w="2395" w:type="pct"/>
        </w:tcPr>
        <w:p w:rsidR="00EC379B" w:rsidRPr="009C1E9A" w:rsidRDefault="003D5C5D" w:rsidP="009C1E9A">
          <w:pPr>
            <w:pStyle w:val="Footer"/>
            <w:tabs>
              <w:tab w:val="clear" w:pos="4320"/>
              <w:tab w:val="clear" w:pos="8640"/>
              <w:tab w:val="left" w:pos="2865"/>
            </w:tabs>
            <w:rPr>
              <w:rFonts w:ascii="Shruti" w:hAnsi="Shruti"/>
              <w:sz w:val="22"/>
            </w:rPr>
          </w:pPr>
        </w:p>
      </w:tc>
      <w:tc>
        <w:tcPr>
          <w:tcW w:w="2453" w:type="pct"/>
        </w:tcPr>
        <w:p w:rsidR="00EC379B" w:rsidRDefault="003D5C5D" w:rsidP="006D504F">
          <w:pPr>
            <w:pStyle w:val="Footer"/>
            <w:rPr>
              <w:rStyle w:val="PageNumber"/>
            </w:rPr>
          </w:pPr>
        </w:p>
        <w:p w:rsidR="00EC379B" w:rsidRDefault="003D5C5D" w:rsidP="009C1E9A">
          <w:pPr>
            <w:pStyle w:val="Footer"/>
            <w:tabs>
              <w:tab w:val="clear" w:pos="8640"/>
              <w:tab w:val="right" w:pos="9360"/>
            </w:tabs>
            <w:jc w:val="right"/>
          </w:pPr>
        </w:p>
      </w:tc>
    </w:tr>
    <w:tr w:rsidR="00FB525A" w:rsidTr="009C1E9A">
      <w:trPr>
        <w:cantSplit/>
        <w:trHeight w:val="323"/>
      </w:trPr>
      <w:tc>
        <w:tcPr>
          <w:tcW w:w="0" w:type="pct"/>
          <w:gridSpan w:val="3"/>
        </w:tcPr>
        <w:p w:rsidR="00EC379B" w:rsidRDefault="003D5C5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D5C5D" w:rsidP="009C1E9A">
          <w:pPr>
            <w:pStyle w:val="Footer"/>
            <w:tabs>
              <w:tab w:val="clear" w:pos="8640"/>
              <w:tab w:val="right" w:pos="9360"/>
            </w:tabs>
            <w:jc w:val="center"/>
          </w:pPr>
        </w:p>
      </w:tc>
    </w:tr>
  </w:tbl>
  <w:p w:rsidR="00EC379B" w:rsidRPr="00FF6F72" w:rsidRDefault="003D5C5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BA" w:rsidRDefault="003D5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5C5D">
      <w:r>
        <w:separator/>
      </w:r>
    </w:p>
  </w:footnote>
  <w:footnote w:type="continuationSeparator" w:id="0">
    <w:p w:rsidR="00000000" w:rsidRDefault="003D5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BA" w:rsidRDefault="003D5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BA" w:rsidRDefault="003D5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BA" w:rsidRDefault="003D5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6A1"/>
    <w:multiLevelType w:val="hybridMultilevel"/>
    <w:tmpl w:val="9866E81E"/>
    <w:lvl w:ilvl="0" w:tplc="E86E8558">
      <w:start w:val="1"/>
      <w:numFmt w:val="bullet"/>
      <w:lvlText w:val=""/>
      <w:lvlJc w:val="left"/>
      <w:pPr>
        <w:tabs>
          <w:tab w:val="num" w:pos="720"/>
        </w:tabs>
        <w:ind w:left="720" w:hanging="360"/>
      </w:pPr>
      <w:rPr>
        <w:rFonts w:ascii="Symbol" w:hAnsi="Symbol" w:hint="default"/>
      </w:rPr>
    </w:lvl>
    <w:lvl w:ilvl="1" w:tplc="03646E06" w:tentative="1">
      <w:start w:val="1"/>
      <w:numFmt w:val="bullet"/>
      <w:lvlText w:val="o"/>
      <w:lvlJc w:val="left"/>
      <w:pPr>
        <w:ind w:left="1440" w:hanging="360"/>
      </w:pPr>
      <w:rPr>
        <w:rFonts w:ascii="Courier New" w:hAnsi="Courier New" w:cs="Courier New" w:hint="default"/>
      </w:rPr>
    </w:lvl>
    <w:lvl w:ilvl="2" w:tplc="622A8520" w:tentative="1">
      <w:start w:val="1"/>
      <w:numFmt w:val="bullet"/>
      <w:lvlText w:val=""/>
      <w:lvlJc w:val="left"/>
      <w:pPr>
        <w:ind w:left="2160" w:hanging="360"/>
      </w:pPr>
      <w:rPr>
        <w:rFonts w:ascii="Wingdings" w:hAnsi="Wingdings" w:hint="default"/>
      </w:rPr>
    </w:lvl>
    <w:lvl w:ilvl="3" w:tplc="B4409C52" w:tentative="1">
      <w:start w:val="1"/>
      <w:numFmt w:val="bullet"/>
      <w:lvlText w:val=""/>
      <w:lvlJc w:val="left"/>
      <w:pPr>
        <w:ind w:left="2880" w:hanging="360"/>
      </w:pPr>
      <w:rPr>
        <w:rFonts w:ascii="Symbol" w:hAnsi="Symbol" w:hint="default"/>
      </w:rPr>
    </w:lvl>
    <w:lvl w:ilvl="4" w:tplc="640A6B4E" w:tentative="1">
      <w:start w:val="1"/>
      <w:numFmt w:val="bullet"/>
      <w:lvlText w:val="o"/>
      <w:lvlJc w:val="left"/>
      <w:pPr>
        <w:ind w:left="3600" w:hanging="360"/>
      </w:pPr>
      <w:rPr>
        <w:rFonts w:ascii="Courier New" w:hAnsi="Courier New" w:cs="Courier New" w:hint="default"/>
      </w:rPr>
    </w:lvl>
    <w:lvl w:ilvl="5" w:tplc="F0BE603E" w:tentative="1">
      <w:start w:val="1"/>
      <w:numFmt w:val="bullet"/>
      <w:lvlText w:val=""/>
      <w:lvlJc w:val="left"/>
      <w:pPr>
        <w:ind w:left="4320" w:hanging="360"/>
      </w:pPr>
      <w:rPr>
        <w:rFonts w:ascii="Wingdings" w:hAnsi="Wingdings" w:hint="default"/>
      </w:rPr>
    </w:lvl>
    <w:lvl w:ilvl="6" w:tplc="B82CE8C0" w:tentative="1">
      <w:start w:val="1"/>
      <w:numFmt w:val="bullet"/>
      <w:lvlText w:val=""/>
      <w:lvlJc w:val="left"/>
      <w:pPr>
        <w:ind w:left="5040" w:hanging="360"/>
      </w:pPr>
      <w:rPr>
        <w:rFonts w:ascii="Symbol" w:hAnsi="Symbol" w:hint="default"/>
      </w:rPr>
    </w:lvl>
    <w:lvl w:ilvl="7" w:tplc="D28263B6" w:tentative="1">
      <w:start w:val="1"/>
      <w:numFmt w:val="bullet"/>
      <w:lvlText w:val="o"/>
      <w:lvlJc w:val="left"/>
      <w:pPr>
        <w:ind w:left="5760" w:hanging="360"/>
      </w:pPr>
      <w:rPr>
        <w:rFonts w:ascii="Courier New" w:hAnsi="Courier New" w:cs="Courier New" w:hint="default"/>
      </w:rPr>
    </w:lvl>
    <w:lvl w:ilvl="8" w:tplc="A084702C" w:tentative="1">
      <w:start w:val="1"/>
      <w:numFmt w:val="bullet"/>
      <w:lvlText w:val=""/>
      <w:lvlJc w:val="left"/>
      <w:pPr>
        <w:ind w:left="6480" w:hanging="360"/>
      </w:pPr>
      <w:rPr>
        <w:rFonts w:ascii="Wingdings" w:hAnsi="Wingdings" w:hint="default"/>
      </w:rPr>
    </w:lvl>
  </w:abstractNum>
  <w:abstractNum w:abstractNumId="1" w15:restartNumberingAfterBreak="0">
    <w:nsid w:val="10D90B64"/>
    <w:multiLevelType w:val="hybridMultilevel"/>
    <w:tmpl w:val="7C345910"/>
    <w:lvl w:ilvl="0" w:tplc="67B4C1D6">
      <w:start w:val="1"/>
      <w:numFmt w:val="bullet"/>
      <w:lvlText w:val=""/>
      <w:lvlJc w:val="left"/>
      <w:pPr>
        <w:tabs>
          <w:tab w:val="num" w:pos="720"/>
        </w:tabs>
        <w:ind w:left="720" w:hanging="360"/>
      </w:pPr>
      <w:rPr>
        <w:rFonts w:ascii="Symbol" w:hAnsi="Symbol" w:hint="default"/>
      </w:rPr>
    </w:lvl>
    <w:lvl w:ilvl="1" w:tplc="A79C7B30" w:tentative="1">
      <w:start w:val="1"/>
      <w:numFmt w:val="bullet"/>
      <w:lvlText w:val="o"/>
      <w:lvlJc w:val="left"/>
      <w:pPr>
        <w:ind w:left="1440" w:hanging="360"/>
      </w:pPr>
      <w:rPr>
        <w:rFonts w:ascii="Courier New" w:hAnsi="Courier New" w:cs="Courier New" w:hint="default"/>
      </w:rPr>
    </w:lvl>
    <w:lvl w:ilvl="2" w:tplc="7D5A8BD4" w:tentative="1">
      <w:start w:val="1"/>
      <w:numFmt w:val="bullet"/>
      <w:lvlText w:val=""/>
      <w:lvlJc w:val="left"/>
      <w:pPr>
        <w:ind w:left="2160" w:hanging="360"/>
      </w:pPr>
      <w:rPr>
        <w:rFonts w:ascii="Wingdings" w:hAnsi="Wingdings" w:hint="default"/>
      </w:rPr>
    </w:lvl>
    <w:lvl w:ilvl="3" w:tplc="CFFA38CC" w:tentative="1">
      <w:start w:val="1"/>
      <w:numFmt w:val="bullet"/>
      <w:lvlText w:val=""/>
      <w:lvlJc w:val="left"/>
      <w:pPr>
        <w:ind w:left="2880" w:hanging="360"/>
      </w:pPr>
      <w:rPr>
        <w:rFonts w:ascii="Symbol" w:hAnsi="Symbol" w:hint="default"/>
      </w:rPr>
    </w:lvl>
    <w:lvl w:ilvl="4" w:tplc="5D949154" w:tentative="1">
      <w:start w:val="1"/>
      <w:numFmt w:val="bullet"/>
      <w:lvlText w:val="o"/>
      <w:lvlJc w:val="left"/>
      <w:pPr>
        <w:ind w:left="3600" w:hanging="360"/>
      </w:pPr>
      <w:rPr>
        <w:rFonts w:ascii="Courier New" w:hAnsi="Courier New" w:cs="Courier New" w:hint="default"/>
      </w:rPr>
    </w:lvl>
    <w:lvl w:ilvl="5" w:tplc="DC2AE5F6" w:tentative="1">
      <w:start w:val="1"/>
      <w:numFmt w:val="bullet"/>
      <w:lvlText w:val=""/>
      <w:lvlJc w:val="left"/>
      <w:pPr>
        <w:ind w:left="4320" w:hanging="360"/>
      </w:pPr>
      <w:rPr>
        <w:rFonts w:ascii="Wingdings" w:hAnsi="Wingdings" w:hint="default"/>
      </w:rPr>
    </w:lvl>
    <w:lvl w:ilvl="6" w:tplc="BCE656CE" w:tentative="1">
      <w:start w:val="1"/>
      <w:numFmt w:val="bullet"/>
      <w:lvlText w:val=""/>
      <w:lvlJc w:val="left"/>
      <w:pPr>
        <w:ind w:left="5040" w:hanging="360"/>
      </w:pPr>
      <w:rPr>
        <w:rFonts w:ascii="Symbol" w:hAnsi="Symbol" w:hint="default"/>
      </w:rPr>
    </w:lvl>
    <w:lvl w:ilvl="7" w:tplc="B6A8C09A" w:tentative="1">
      <w:start w:val="1"/>
      <w:numFmt w:val="bullet"/>
      <w:lvlText w:val="o"/>
      <w:lvlJc w:val="left"/>
      <w:pPr>
        <w:ind w:left="5760" w:hanging="360"/>
      </w:pPr>
      <w:rPr>
        <w:rFonts w:ascii="Courier New" w:hAnsi="Courier New" w:cs="Courier New" w:hint="default"/>
      </w:rPr>
    </w:lvl>
    <w:lvl w:ilvl="8" w:tplc="8CE81DF8" w:tentative="1">
      <w:start w:val="1"/>
      <w:numFmt w:val="bullet"/>
      <w:lvlText w:val=""/>
      <w:lvlJc w:val="left"/>
      <w:pPr>
        <w:ind w:left="6480" w:hanging="360"/>
      </w:pPr>
      <w:rPr>
        <w:rFonts w:ascii="Wingdings" w:hAnsi="Wingdings" w:hint="default"/>
      </w:rPr>
    </w:lvl>
  </w:abstractNum>
  <w:abstractNum w:abstractNumId="2" w15:restartNumberingAfterBreak="0">
    <w:nsid w:val="1DAB5BCE"/>
    <w:multiLevelType w:val="hybridMultilevel"/>
    <w:tmpl w:val="7AB29330"/>
    <w:lvl w:ilvl="0" w:tplc="7B7E1006">
      <w:start w:val="1"/>
      <w:numFmt w:val="bullet"/>
      <w:lvlText w:val=""/>
      <w:lvlJc w:val="left"/>
      <w:pPr>
        <w:tabs>
          <w:tab w:val="num" w:pos="720"/>
        </w:tabs>
        <w:ind w:left="720" w:hanging="360"/>
      </w:pPr>
      <w:rPr>
        <w:rFonts w:ascii="Symbol" w:hAnsi="Symbol" w:hint="default"/>
      </w:rPr>
    </w:lvl>
    <w:lvl w:ilvl="1" w:tplc="F5A6836A" w:tentative="1">
      <w:start w:val="1"/>
      <w:numFmt w:val="bullet"/>
      <w:lvlText w:val="o"/>
      <w:lvlJc w:val="left"/>
      <w:pPr>
        <w:ind w:left="1440" w:hanging="360"/>
      </w:pPr>
      <w:rPr>
        <w:rFonts w:ascii="Courier New" w:hAnsi="Courier New" w:cs="Courier New" w:hint="default"/>
      </w:rPr>
    </w:lvl>
    <w:lvl w:ilvl="2" w:tplc="F006C190" w:tentative="1">
      <w:start w:val="1"/>
      <w:numFmt w:val="bullet"/>
      <w:lvlText w:val=""/>
      <w:lvlJc w:val="left"/>
      <w:pPr>
        <w:ind w:left="2160" w:hanging="360"/>
      </w:pPr>
      <w:rPr>
        <w:rFonts w:ascii="Wingdings" w:hAnsi="Wingdings" w:hint="default"/>
      </w:rPr>
    </w:lvl>
    <w:lvl w:ilvl="3" w:tplc="2BEEBD4E" w:tentative="1">
      <w:start w:val="1"/>
      <w:numFmt w:val="bullet"/>
      <w:lvlText w:val=""/>
      <w:lvlJc w:val="left"/>
      <w:pPr>
        <w:ind w:left="2880" w:hanging="360"/>
      </w:pPr>
      <w:rPr>
        <w:rFonts w:ascii="Symbol" w:hAnsi="Symbol" w:hint="default"/>
      </w:rPr>
    </w:lvl>
    <w:lvl w:ilvl="4" w:tplc="C8969E80" w:tentative="1">
      <w:start w:val="1"/>
      <w:numFmt w:val="bullet"/>
      <w:lvlText w:val="o"/>
      <w:lvlJc w:val="left"/>
      <w:pPr>
        <w:ind w:left="3600" w:hanging="360"/>
      </w:pPr>
      <w:rPr>
        <w:rFonts w:ascii="Courier New" w:hAnsi="Courier New" w:cs="Courier New" w:hint="default"/>
      </w:rPr>
    </w:lvl>
    <w:lvl w:ilvl="5" w:tplc="FB463D94" w:tentative="1">
      <w:start w:val="1"/>
      <w:numFmt w:val="bullet"/>
      <w:lvlText w:val=""/>
      <w:lvlJc w:val="left"/>
      <w:pPr>
        <w:ind w:left="4320" w:hanging="360"/>
      </w:pPr>
      <w:rPr>
        <w:rFonts w:ascii="Wingdings" w:hAnsi="Wingdings" w:hint="default"/>
      </w:rPr>
    </w:lvl>
    <w:lvl w:ilvl="6" w:tplc="BBF4236C" w:tentative="1">
      <w:start w:val="1"/>
      <w:numFmt w:val="bullet"/>
      <w:lvlText w:val=""/>
      <w:lvlJc w:val="left"/>
      <w:pPr>
        <w:ind w:left="5040" w:hanging="360"/>
      </w:pPr>
      <w:rPr>
        <w:rFonts w:ascii="Symbol" w:hAnsi="Symbol" w:hint="default"/>
      </w:rPr>
    </w:lvl>
    <w:lvl w:ilvl="7" w:tplc="6E8EA4C8" w:tentative="1">
      <w:start w:val="1"/>
      <w:numFmt w:val="bullet"/>
      <w:lvlText w:val="o"/>
      <w:lvlJc w:val="left"/>
      <w:pPr>
        <w:ind w:left="5760" w:hanging="360"/>
      </w:pPr>
      <w:rPr>
        <w:rFonts w:ascii="Courier New" w:hAnsi="Courier New" w:cs="Courier New" w:hint="default"/>
      </w:rPr>
    </w:lvl>
    <w:lvl w:ilvl="8" w:tplc="2CE83EE8" w:tentative="1">
      <w:start w:val="1"/>
      <w:numFmt w:val="bullet"/>
      <w:lvlText w:val=""/>
      <w:lvlJc w:val="left"/>
      <w:pPr>
        <w:ind w:left="6480" w:hanging="360"/>
      </w:pPr>
      <w:rPr>
        <w:rFonts w:ascii="Wingdings" w:hAnsi="Wingdings" w:hint="default"/>
      </w:rPr>
    </w:lvl>
  </w:abstractNum>
  <w:abstractNum w:abstractNumId="3" w15:restartNumberingAfterBreak="0">
    <w:nsid w:val="511C7887"/>
    <w:multiLevelType w:val="hybridMultilevel"/>
    <w:tmpl w:val="2FF8C7CA"/>
    <w:lvl w:ilvl="0" w:tplc="B7968E0C">
      <w:start w:val="1"/>
      <w:numFmt w:val="bullet"/>
      <w:lvlText w:val=""/>
      <w:lvlJc w:val="left"/>
      <w:pPr>
        <w:tabs>
          <w:tab w:val="num" w:pos="720"/>
        </w:tabs>
        <w:ind w:left="720" w:hanging="360"/>
      </w:pPr>
      <w:rPr>
        <w:rFonts w:ascii="Symbol" w:hAnsi="Symbol" w:hint="default"/>
      </w:rPr>
    </w:lvl>
    <w:lvl w:ilvl="1" w:tplc="D0C6E36A" w:tentative="1">
      <w:start w:val="1"/>
      <w:numFmt w:val="bullet"/>
      <w:lvlText w:val="o"/>
      <w:lvlJc w:val="left"/>
      <w:pPr>
        <w:ind w:left="1440" w:hanging="360"/>
      </w:pPr>
      <w:rPr>
        <w:rFonts w:ascii="Courier New" w:hAnsi="Courier New" w:cs="Courier New" w:hint="default"/>
      </w:rPr>
    </w:lvl>
    <w:lvl w:ilvl="2" w:tplc="F63E6966" w:tentative="1">
      <w:start w:val="1"/>
      <w:numFmt w:val="bullet"/>
      <w:lvlText w:val=""/>
      <w:lvlJc w:val="left"/>
      <w:pPr>
        <w:ind w:left="2160" w:hanging="360"/>
      </w:pPr>
      <w:rPr>
        <w:rFonts w:ascii="Wingdings" w:hAnsi="Wingdings" w:hint="default"/>
      </w:rPr>
    </w:lvl>
    <w:lvl w:ilvl="3" w:tplc="F7D66C64" w:tentative="1">
      <w:start w:val="1"/>
      <w:numFmt w:val="bullet"/>
      <w:lvlText w:val=""/>
      <w:lvlJc w:val="left"/>
      <w:pPr>
        <w:ind w:left="2880" w:hanging="360"/>
      </w:pPr>
      <w:rPr>
        <w:rFonts w:ascii="Symbol" w:hAnsi="Symbol" w:hint="default"/>
      </w:rPr>
    </w:lvl>
    <w:lvl w:ilvl="4" w:tplc="C304FDEA" w:tentative="1">
      <w:start w:val="1"/>
      <w:numFmt w:val="bullet"/>
      <w:lvlText w:val="o"/>
      <w:lvlJc w:val="left"/>
      <w:pPr>
        <w:ind w:left="3600" w:hanging="360"/>
      </w:pPr>
      <w:rPr>
        <w:rFonts w:ascii="Courier New" w:hAnsi="Courier New" w:cs="Courier New" w:hint="default"/>
      </w:rPr>
    </w:lvl>
    <w:lvl w:ilvl="5" w:tplc="B9E8A6EE" w:tentative="1">
      <w:start w:val="1"/>
      <w:numFmt w:val="bullet"/>
      <w:lvlText w:val=""/>
      <w:lvlJc w:val="left"/>
      <w:pPr>
        <w:ind w:left="4320" w:hanging="360"/>
      </w:pPr>
      <w:rPr>
        <w:rFonts w:ascii="Wingdings" w:hAnsi="Wingdings" w:hint="default"/>
      </w:rPr>
    </w:lvl>
    <w:lvl w:ilvl="6" w:tplc="8086317C" w:tentative="1">
      <w:start w:val="1"/>
      <w:numFmt w:val="bullet"/>
      <w:lvlText w:val=""/>
      <w:lvlJc w:val="left"/>
      <w:pPr>
        <w:ind w:left="5040" w:hanging="360"/>
      </w:pPr>
      <w:rPr>
        <w:rFonts w:ascii="Symbol" w:hAnsi="Symbol" w:hint="default"/>
      </w:rPr>
    </w:lvl>
    <w:lvl w:ilvl="7" w:tplc="AC244F14" w:tentative="1">
      <w:start w:val="1"/>
      <w:numFmt w:val="bullet"/>
      <w:lvlText w:val="o"/>
      <w:lvlJc w:val="left"/>
      <w:pPr>
        <w:ind w:left="5760" w:hanging="360"/>
      </w:pPr>
      <w:rPr>
        <w:rFonts w:ascii="Courier New" w:hAnsi="Courier New" w:cs="Courier New" w:hint="default"/>
      </w:rPr>
    </w:lvl>
    <w:lvl w:ilvl="8" w:tplc="1AE04B22" w:tentative="1">
      <w:start w:val="1"/>
      <w:numFmt w:val="bullet"/>
      <w:lvlText w:val=""/>
      <w:lvlJc w:val="left"/>
      <w:pPr>
        <w:ind w:left="6480" w:hanging="360"/>
      </w:pPr>
      <w:rPr>
        <w:rFonts w:ascii="Wingdings" w:hAnsi="Wingdings" w:hint="default"/>
      </w:rPr>
    </w:lvl>
  </w:abstractNum>
  <w:abstractNum w:abstractNumId="4" w15:restartNumberingAfterBreak="0">
    <w:nsid w:val="7E210738"/>
    <w:multiLevelType w:val="hybridMultilevel"/>
    <w:tmpl w:val="3B1E5782"/>
    <w:lvl w:ilvl="0" w:tplc="A7561E4E">
      <w:start w:val="1"/>
      <w:numFmt w:val="bullet"/>
      <w:lvlText w:val=""/>
      <w:lvlJc w:val="left"/>
      <w:pPr>
        <w:ind w:left="720" w:hanging="360"/>
      </w:pPr>
      <w:rPr>
        <w:rFonts w:ascii="Symbol" w:hAnsi="Symbol" w:hint="default"/>
      </w:rPr>
    </w:lvl>
    <w:lvl w:ilvl="1" w:tplc="F04E8732" w:tentative="1">
      <w:start w:val="1"/>
      <w:numFmt w:val="bullet"/>
      <w:lvlText w:val="o"/>
      <w:lvlJc w:val="left"/>
      <w:pPr>
        <w:ind w:left="1440" w:hanging="360"/>
      </w:pPr>
      <w:rPr>
        <w:rFonts w:ascii="Courier New" w:hAnsi="Courier New" w:cs="Courier New" w:hint="default"/>
      </w:rPr>
    </w:lvl>
    <w:lvl w:ilvl="2" w:tplc="1802670C" w:tentative="1">
      <w:start w:val="1"/>
      <w:numFmt w:val="bullet"/>
      <w:lvlText w:val=""/>
      <w:lvlJc w:val="left"/>
      <w:pPr>
        <w:ind w:left="2160" w:hanging="360"/>
      </w:pPr>
      <w:rPr>
        <w:rFonts w:ascii="Wingdings" w:hAnsi="Wingdings" w:hint="default"/>
      </w:rPr>
    </w:lvl>
    <w:lvl w:ilvl="3" w:tplc="A9DAB90A" w:tentative="1">
      <w:start w:val="1"/>
      <w:numFmt w:val="bullet"/>
      <w:lvlText w:val=""/>
      <w:lvlJc w:val="left"/>
      <w:pPr>
        <w:ind w:left="2880" w:hanging="360"/>
      </w:pPr>
      <w:rPr>
        <w:rFonts w:ascii="Symbol" w:hAnsi="Symbol" w:hint="default"/>
      </w:rPr>
    </w:lvl>
    <w:lvl w:ilvl="4" w:tplc="648A9C50" w:tentative="1">
      <w:start w:val="1"/>
      <w:numFmt w:val="bullet"/>
      <w:lvlText w:val="o"/>
      <w:lvlJc w:val="left"/>
      <w:pPr>
        <w:ind w:left="3600" w:hanging="360"/>
      </w:pPr>
      <w:rPr>
        <w:rFonts w:ascii="Courier New" w:hAnsi="Courier New" w:cs="Courier New" w:hint="default"/>
      </w:rPr>
    </w:lvl>
    <w:lvl w:ilvl="5" w:tplc="0E9E19C0" w:tentative="1">
      <w:start w:val="1"/>
      <w:numFmt w:val="bullet"/>
      <w:lvlText w:val=""/>
      <w:lvlJc w:val="left"/>
      <w:pPr>
        <w:ind w:left="4320" w:hanging="360"/>
      </w:pPr>
      <w:rPr>
        <w:rFonts w:ascii="Wingdings" w:hAnsi="Wingdings" w:hint="default"/>
      </w:rPr>
    </w:lvl>
    <w:lvl w:ilvl="6" w:tplc="1F9059FE" w:tentative="1">
      <w:start w:val="1"/>
      <w:numFmt w:val="bullet"/>
      <w:lvlText w:val=""/>
      <w:lvlJc w:val="left"/>
      <w:pPr>
        <w:ind w:left="5040" w:hanging="360"/>
      </w:pPr>
      <w:rPr>
        <w:rFonts w:ascii="Symbol" w:hAnsi="Symbol" w:hint="default"/>
      </w:rPr>
    </w:lvl>
    <w:lvl w:ilvl="7" w:tplc="C8B45EAA" w:tentative="1">
      <w:start w:val="1"/>
      <w:numFmt w:val="bullet"/>
      <w:lvlText w:val="o"/>
      <w:lvlJc w:val="left"/>
      <w:pPr>
        <w:ind w:left="5760" w:hanging="360"/>
      </w:pPr>
      <w:rPr>
        <w:rFonts w:ascii="Courier New" w:hAnsi="Courier New" w:cs="Courier New" w:hint="default"/>
      </w:rPr>
    </w:lvl>
    <w:lvl w:ilvl="8" w:tplc="16DC340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5A"/>
    <w:rsid w:val="003D5C5D"/>
    <w:rsid w:val="00FB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E2D3ED-7D31-48F0-AB27-9E64591C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67481"/>
    <w:rPr>
      <w:sz w:val="16"/>
      <w:szCs w:val="16"/>
    </w:rPr>
  </w:style>
  <w:style w:type="paragraph" w:styleId="CommentText">
    <w:name w:val="annotation text"/>
    <w:basedOn w:val="Normal"/>
    <w:link w:val="CommentTextChar"/>
    <w:semiHidden/>
    <w:unhideWhenUsed/>
    <w:rsid w:val="00E67481"/>
    <w:rPr>
      <w:sz w:val="20"/>
      <w:szCs w:val="20"/>
    </w:rPr>
  </w:style>
  <w:style w:type="character" w:customStyle="1" w:styleId="CommentTextChar">
    <w:name w:val="Comment Text Char"/>
    <w:basedOn w:val="DefaultParagraphFont"/>
    <w:link w:val="CommentText"/>
    <w:semiHidden/>
    <w:rsid w:val="00E67481"/>
  </w:style>
  <w:style w:type="paragraph" w:styleId="CommentSubject">
    <w:name w:val="annotation subject"/>
    <w:basedOn w:val="CommentText"/>
    <w:next w:val="CommentText"/>
    <w:link w:val="CommentSubjectChar"/>
    <w:semiHidden/>
    <w:unhideWhenUsed/>
    <w:rsid w:val="00E67481"/>
    <w:rPr>
      <w:b/>
      <w:bCs/>
    </w:rPr>
  </w:style>
  <w:style w:type="character" w:customStyle="1" w:styleId="CommentSubjectChar">
    <w:name w:val="Comment Subject Char"/>
    <w:basedOn w:val="CommentTextChar"/>
    <w:link w:val="CommentSubject"/>
    <w:semiHidden/>
    <w:rsid w:val="00E67481"/>
    <w:rPr>
      <w:b/>
      <w:bCs/>
    </w:rPr>
  </w:style>
  <w:style w:type="paragraph" w:styleId="ListParagraph">
    <w:name w:val="List Paragraph"/>
    <w:basedOn w:val="Normal"/>
    <w:uiPriority w:val="34"/>
    <w:qFormat/>
    <w:rsid w:val="009D5B17"/>
    <w:pPr>
      <w:ind w:left="720"/>
      <w:contextualSpacing/>
    </w:pPr>
  </w:style>
  <w:style w:type="paragraph" w:styleId="Revision">
    <w:name w:val="Revision"/>
    <w:hidden/>
    <w:uiPriority w:val="99"/>
    <w:semiHidden/>
    <w:rsid w:val="001979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5538</Characters>
  <Application>Microsoft Office Word</Application>
  <DocSecurity>4</DocSecurity>
  <Lines>110</Lines>
  <Paragraphs>28</Paragraphs>
  <ScaleCrop>false</ScaleCrop>
  <HeadingPairs>
    <vt:vector size="2" baseType="variant">
      <vt:variant>
        <vt:lpstr>Title</vt:lpstr>
      </vt:variant>
      <vt:variant>
        <vt:i4>1</vt:i4>
      </vt:variant>
    </vt:vector>
  </HeadingPairs>
  <TitlesOfParts>
    <vt:vector size="1" baseType="lpstr">
      <vt:lpstr>BA - SB00869 (Committee Report (Unamended))</vt:lpstr>
    </vt:vector>
  </TitlesOfParts>
  <Company>State of Texas</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33922</dc:subject>
  <dc:creator>State of Texas</dc:creator>
  <dc:description>SB 869 by Zaffirini-(H)Public Education</dc:description>
  <cp:lastModifiedBy>Scotty Wimberley</cp:lastModifiedBy>
  <cp:revision>2</cp:revision>
  <cp:lastPrinted>2003-11-26T17:21:00Z</cp:lastPrinted>
  <dcterms:created xsi:type="dcterms:W3CDTF">2019-05-14T21:43:00Z</dcterms:created>
  <dcterms:modified xsi:type="dcterms:W3CDTF">2019-05-14T21:43:00Z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19.134.901</vt:lpwstr>
  </property>
</Properties>
</file>