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66010" w:rsidTr="00345119">
        <w:tc>
          <w:tcPr>
            <w:tcW w:w="9576" w:type="dxa"/>
            <w:noWrap/>
          </w:tcPr>
          <w:p w:rsidR="008423E4" w:rsidRPr="0022177D" w:rsidRDefault="002024B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24BC" w:rsidP="008423E4">
      <w:pPr>
        <w:jc w:val="center"/>
      </w:pPr>
    </w:p>
    <w:p w:rsidR="008423E4" w:rsidRPr="00B31F0E" w:rsidRDefault="002024BC" w:rsidP="008423E4"/>
    <w:p w:rsidR="008423E4" w:rsidRPr="00742794" w:rsidRDefault="002024B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6010" w:rsidTr="00345119">
        <w:tc>
          <w:tcPr>
            <w:tcW w:w="9576" w:type="dxa"/>
          </w:tcPr>
          <w:p w:rsidR="008423E4" w:rsidRPr="00861995" w:rsidRDefault="002024BC" w:rsidP="00345119">
            <w:pPr>
              <w:jc w:val="right"/>
            </w:pPr>
            <w:r>
              <w:t>C.S.S.B. 892</w:t>
            </w:r>
          </w:p>
        </w:tc>
      </w:tr>
      <w:tr w:rsidR="00E66010" w:rsidTr="00345119">
        <w:tc>
          <w:tcPr>
            <w:tcW w:w="9576" w:type="dxa"/>
          </w:tcPr>
          <w:p w:rsidR="008423E4" w:rsidRPr="00861995" w:rsidRDefault="002024BC" w:rsidP="00A029C5">
            <w:pPr>
              <w:jc w:val="right"/>
            </w:pPr>
            <w:r>
              <w:t xml:space="preserve">By: </w:t>
            </w:r>
            <w:r>
              <w:t>Menéndez</w:t>
            </w:r>
          </w:p>
        </w:tc>
      </w:tr>
      <w:tr w:rsidR="00E66010" w:rsidTr="00345119">
        <w:tc>
          <w:tcPr>
            <w:tcW w:w="9576" w:type="dxa"/>
          </w:tcPr>
          <w:p w:rsidR="008423E4" w:rsidRPr="00861995" w:rsidRDefault="002024BC" w:rsidP="00345119">
            <w:pPr>
              <w:jc w:val="right"/>
            </w:pPr>
            <w:r>
              <w:t>Environmental Regulation</w:t>
            </w:r>
          </w:p>
        </w:tc>
      </w:tr>
      <w:tr w:rsidR="00E66010" w:rsidTr="00345119">
        <w:tc>
          <w:tcPr>
            <w:tcW w:w="9576" w:type="dxa"/>
          </w:tcPr>
          <w:p w:rsidR="008423E4" w:rsidRDefault="002024B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024BC" w:rsidP="008423E4">
      <w:pPr>
        <w:tabs>
          <w:tab w:val="right" w:pos="9360"/>
        </w:tabs>
      </w:pPr>
    </w:p>
    <w:p w:rsidR="008423E4" w:rsidRPr="00801564" w:rsidRDefault="002024BC" w:rsidP="008423E4">
      <w:pPr>
        <w:rPr>
          <w:sz w:val="22"/>
        </w:rPr>
      </w:pPr>
    </w:p>
    <w:p w:rsidR="008423E4" w:rsidRPr="00801564" w:rsidRDefault="002024BC" w:rsidP="008423E4">
      <w:pPr>
        <w:rPr>
          <w:sz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66010" w:rsidTr="00345119">
        <w:tc>
          <w:tcPr>
            <w:tcW w:w="9576" w:type="dxa"/>
          </w:tcPr>
          <w:p w:rsidR="008423E4" w:rsidRPr="00A8133F" w:rsidRDefault="002024BC" w:rsidP="00C7471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801564" w:rsidRDefault="002024BC" w:rsidP="00C7471A">
            <w:pPr>
              <w:rPr>
                <w:sz w:val="22"/>
              </w:rPr>
            </w:pPr>
          </w:p>
          <w:p w:rsidR="008423E4" w:rsidRDefault="002024BC" w:rsidP="00C747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regarding the practice of c</w:t>
            </w:r>
            <w:r w:rsidRPr="007123EF">
              <w:t>oal rolling</w:t>
            </w:r>
            <w:r>
              <w:t>, whereby a diesel</w:t>
            </w:r>
            <w:r>
              <w:t>-powered</w:t>
            </w:r>
            <w:r>
              <w:t xml:space="preserve"> vehicle </w:t>
            </w:r>
            <w:r>
              <w:t>is</w:t>
            </w:r>
            <w:r>
              <w:t xml:space="preserve"> made to emit thick, black smoke through the alteration of certain vehicle components</w:t>
            </w:r>
            <w:r>
              <w:t xml:space="preserve">, and the negative health and environmental effects </w:t>
            </w:r>
            <w:r>
              <w:t>of</w:t>
            </w:r>
            <w:r>
              <w:t xml:space="preserve"> that practice</w:t>
            </w:r>
            <w:r w:rsidRPr="007123EF">
              <w:t xml:space="preserve">. </w:t>
            </w:r>
            <w:r>
              <w:t>C.S.</w:t>
            </w:r>
            <w:r>
              <w:t>S.B. 892</w:t>
            </w:r>
            <w:r>
              <w:t xml:space="preserve"> seeks to address these concerns by </w:t>
            </w:r>
            <w:r w:rsidRPr="00FA75F2">
              <w:t>prohibit</w:t>
            </w:r>
            <w:r>
              <w:t>ing</w:t>
            </w:r>
            <w:r w:rsidRPr="00FA75F2">
              <w:t xml:space="preserve"> the owner</w:t>
            </w:r>
            <w:r>
              <w:t>s</w:t>
            </w:r>
            <w:r w:rsidRPr="00FA75F2">
              <w:t xml:space="preserve"> </w:t>
            </w:r>
            <w:r>
              <w:t>and</w:t>
            </w:r>
            <w:r w:rsidRPr="00FA75F2">
              <w:t xml:space="preserve"> operator</w:t>
            </w:r>
            <w:r>
              <w:t>s</w:t>
            </w:r>
            <w:r w:rsidRPr="00FA75F2">
              <w:t xml:space="preserve"> of </w:t>
            </w:r>
            <w:r>
              <w:t>certain</w:t>
            </w:r>
            <w:r>
              <w:t xml:space="preserve"> </w:t>
            </w:r>
            <w:r w:rsidRPr="00642FE6">
              <w:t>diese</w:t>
            </w:r>
            <w:r w:rsidRPr="00642FE6">
              <w:t>l-powered</w:t>
            </w:r>
            <w:r w:rsidRPr="00FA75F2">
              <w:t xml:space="preserve"> vehicle</w:t>
            </w:r>
            <w:r>
              <w:t>s</w:t>
            </w:r>
            <w:r w:rsidRPr="00FA75F2">
              <w:t xml:space="preserve"> that </w:t>
            </w:r>
            <w:r>
              <w:t>are</w:t>
            </w:r>
            <w:r w:rsidRPr="00FA75F2">
              <w:t xml:space="preserve"> equipped with an exhaust emission system from modifying or reprogramming the system or </w:t>
            </w:r>
            <w:r>
              <w:t xml:space="preserve">related </w:t>
            </w:r>
            <w:r w:rsidRPr="00FA75F2">
              <w:t>part in a</w:t>
            </w:r>
            <w:r>
              <w:t xml:space="preserve"> certain</w:t>
            </w:r>
            <w:r w:rsidRPr="00FA75F2">
              <w:t xml:space="preserve"> manner</w:t>
            </w:r>
            <w:r>
              <w:t>.</w:t>
            </w:r>
            <w:r>
              <w:t xml:space="preserve"> </w:t>
            </w:r>
          </w:p>
          <w:p w:rsidR="008423E4" w:rsidRPr="00801564" w:rsidRDefault="002024BC" w:rsidP="00C7471A">
            <w:pPr>
              <w:rPr>
                <w:b/>
                <w:sz w:val="22"/>
              </w:rPr>
            </w:pPr>
          </w:p>
        </w:tc>
      </w:tr>
      <w:tr w:rsidR="00E66010" w:rsidTr="00345119">
        <w:tc>
          <w:tcPr>
            <w:tcW w:w="9576" w:type="dxa"/>
          </w:tcPr>
          <w:p w:rsidR="0017725B" w:rsidRDefault="002024BC" w:rsidP="00C747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Pr="00801564" w:rsidRDefault="002024BC" w:rsidP="00C7471A">
            <w:pPr>
              <w:rPr>
                <w:b/>
                <w:sz w:val="22"/>
                <w:u w:val="single"/>
              </w:rPr>
            </w:pPr>
          </w:p>
          <w:p w:rsidR="00F82B4A" w:rsidRPr="00F82B4A" w:rsidRDefault="002024BC" w:rsidP="00C7471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801564" w:rsidRDefault="002024BC" w:rsidP="00C7471A">
            <w:pPr>
              <w:rPr>
                <w:b/>
                <w:sz w:val="22"/>
                <w:u w:val="single"/>
              </w:rPr>
            </w:pPr>
          </w:p>
        </w:tc>
      </w:tr>
      <w:tr w:rsidR="00E66010" w:rsidTr="00345119">
        <w:tc>
          <w:tcPr>
            <w:tcW w:w="9576" w:type="dxa"/>
          </w:tcPr>
          <w:p w:rsidR="008423E4" w:rsidRPr="00A8133F" w:rsidRDefault="002024BC" w:rsidP="00C7471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801564" w:rsidRDefault="002024BC" w:rsidP="00C7471A">
            <w:pPr>
              <w:rPr>
                <w:sz w:val="22"/>
              </w:rPr>
            </w:pPr>
          </w:p>
          <w:p w:rsidR="00F82B4A" w:rsidRDefault="002024BC" w:rsidP="00C747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:rsidR="008423E4" w:rsidRPr="00801564" w:rsidRDefault="002024BC" w:rsidP="00C7471A">
            <w:pPr>
              <w:rPr>
                <w:b/>
                <w:sz w:val="22"/>
              </w:rPr>
            </w:pPr>
          </w:p>
        </w:tc>
      </w:tr>
      <w:tr w:rsidR="00E66010" w:rsidTr="00345119">
        <w:tc>
          <w:tcPr>
            <w:tcW w:w="9576" w:type="dxa"/>
          </w:tcPr>
          <w:p w:rsidR="008423E4" w:rsidRPr="00A8133F" w:rsidRDefault="002024BC" w:rsidP="00C7471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801564" w:rsidRDefault="002024BC" w:rsidP="00C7471A">
            <w:pPr>
              <w:rPr>
                <w:sz w:val="22"/>
              </w:rPr>
            </w:pPr>
          </w:p>
          <w:p w:rsidR="00BD01D3" w:rsidRDefault="002024BC" w:rsidP="00C7471A">
            <w:pPr>
              <w:pStyle w:val="Header"/>
              <w:jc w:val="both"/>
            </w:pPr>
            <w:r>
              <w:t>C.S.</w:t>
            </w:r>
            <w:r>
              <w:t>S.B. 892</w:t>
            </w:r>
            <w:r>
              <w:t xml:space="preserve"> amends the Transportation Code to prohibit the owner or operator of a</w:t>
            </w:r>
            <w:r>
              <w:t xml:space="preserve"> </w:t>
            </w:r>
            <w:r>
              <w:t xml:space="preserve">motor </w:t>
            </w:r>
            <w:r>
              <w:t>vehicle or motor vehicle</w:t>
            </w:r>
            <w:r>
              <w:t xml:space="preserve"> engine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a model year after 1967</w:t>
            </w:r>
            <w:r w:rsidRPr="00F82B4A">
              <w:t xml:space="preserve"> that is equipped </w:t>
            </w:r>
            <w:r>
              <w:t>with an exhaust emission system</w:t>
            </w:r>
            <w:r>
              <w:t>, if the motor vehicle is a diesel-powered passenger car or light truck,</w:t>
            </w:r>
            <w:r>
              <w:t xml:space="preserve"> from </w:t>
            </w:r>
            <w:r w:rsidRPr="00F82B4A">
              <w:t>modify</w:t>
            </w:r>
            <w:r>
              <w:t>ing</w:t>
            </w:r>
            <w:r w:rsidRPr="00F82B4A">
              <w:t xml:space="preserve"> or reprogram</w:t>
            </w:r>
            <w:r>
              <w:t>ming</w:t>
            </w:r>
            <w:r w:rsidRPr="00F82B4A">
              <w:t xml:space="preserve"> the system or a part of the system in a manner that the owner or ope</w:t>
            </w:r>
            <w:r w:rsidRPr="00F82B4A">
              <w:t>rator knows or should know will increase the motor vehicle's capacity to emit soot, smo</w:t>
            </w:r>
            <w:r>
              <w:t>ke, or other particulate matter.</w:t>
            </w:r>
            <w:r>
              <w:t xml:space="preserve"> </w:t>
            </w:r>
            <w:r w:rsidRPr="00144947">
              <w:t xml:space="preserve">The bill requires a court to </w:t>
            </w:r>
            <w:r>
              <w:t>take the following actions:</w:t>
            </w:r>
          </w:p>
          <w:p w:rsidR="00BD01D3" w:rsidRDefault="002024BC" w:rsidP="00C7471A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 w:rsidRPr="00144947">
              <w:t xml:space="preserve">dismiss a charge for a first offense under </w:t>
            </w:r>
            <w:r>
              <w:t>such prohibition</w:t>
            </w:r>
            <w:r w:rsidRPr="00144947">
              <w:t xml:space="preserve"> if the defendant</w:t>
            </w:r>
            <w:r>
              <w:t>:</w:t>
            </w:r>
          </w:p>
          <w:p w:rsidR="008271B5" w:rsidRDefault="002024BC" w:rsidP="00C7471A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 w:rsidRPr="00144947">
              <w:t>after the date of the citation and before the defendant's first court appearance date, obtains all</w:t>
            </w:r>
            <w:r>
              <w:t xml:space="preserve"> applicable</w:t>
            </w:r>
            <w:r w:rsidRPr="00144947">
              <w:t xml:space="preserve"> inspections required to be conducted annually for the vehicle</w:t>
            </w:r>
            <w:r>
              <w:t>;</w:t>
            </w:r>
            <w:r w:rsidRPr="00144947">
              <w:t xml:space="preserve"> and </w:t>
            </w:r>
          </w:p>
          <w:p w:rsidR="008271B5" w:rsidRDefault="002024BC" w:rsidP="00C7471A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 w:rsidRPr="00144947">
              <w:t>submits to the court a passing vehicle inspection report from those inspection</w:t>
            </w:r>
            <w:r w:rsidRPr="00144947">
              <w:t>s for the vehicle</w:t>
            </w:r>
            <w:r>
              <w:t>;</w:t>
            </w:r>
            <w:r>
              <w:t xml:space="preserve"> </w:t>
            </w:r>
            <w:r>
              <w:t>and</w:t>
            </w:r>
          </w:p>
          <w:p w:rsidR="00753B25" w:rsidRDefault="002024BC" w:rsidP="00801564">
            <w:pPr>
              <w:pStyle w:val="Header"/>
              <w:numPr>
                <w:ilvl w:val="0"/>
                <w:numId w:val="2"/>
              </w:numPr>
              <w:jc w:val="both"/>
            </w:pPr>
            <w:r w:rsidRPr="00144947">
              <w:t xml:space="preserve">assess an administrative fee </w:t>
            </w:r>
            <w:r>
              <w:t>capped</w:t>
            </w:r>
            <w:r>
              <w:t xml:space="preserve"> at</w:t>
            </w:r>
            <w:r w:rsidRPr="00144947">
              <w:t xml:space="preserve"> $20 when the charge has been remedied as such.</w:t>
            </w:r>
          </w:p>
          <w:p w:rsidR="008423E4" w:rsidRPr="00835628" w:rsidRDefault="002024BC" w:rsidP="00C7471A">
            <w:pPr>
              <w:rPr>
                <w:b/>
              </w:rPr>
            </w:pPr>
          </w:p>
        </w:tc>
      </w:tr>
      <w:tr w:rsidR="00E66010" w:rsidTr="00345119">
        <w:tc>
          <w:tcPr>
            <w:tcW w:w="9576" w:type="dxa"/>
          </w:tcPr>
          <w:p w:rsidR="008423E4" w:rsidRPr="00A8133F" w:rsidRDefault="002024BC" w:rsidP="00C7471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Pr="00801564" w:rsidRDefault="002024BC" w:rsidP="00C7471A">
            <w:pPr>
              <w:rPr>
                <w:sz w:val="22"/>
              </w:rPr>
            </w:pPr>
          </w:p>
          <w:p w:rsidR="008423E4" w:rsidRPr="003624F2" w:rsidRDefault="002024BC" w:rsidP="00C747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801564" w:rsidRDefault="002024BC" w:rsidP="00C7471A">
            <w:pPr>
              <w:rPr>
                <w:b/>
                <w:sz w:val="22"/>
              </w:rPr>
            </w:pPr>
          </w:p>
        </w:tc>
      </w:tr>
      <w:tr w:rsidR="00E66010" w:rsidTr="00345119">
        <w:tc>
          <w:tcPr>
            <w:tcW w:w="9576" w:type="dxa"/>
          </w:tcPr>
          <w:p w:rsidR="00A029C5" w:rsidRDefault="002024BC" w:rsidP="00C7471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:rsidR="00144947" w:rsidRDefault="002024BC" w:rsidP="00C7471A">
            <w:pPr>
              <w:jc w:val="both"/>
            </w:pPr>
          </w:p>
          <w:p w:rsidR="00144947" w:rsidRDefault="002024BC" w:rsidP="00C7471A">
            <w:pPr>
              <w:jc w:val="both"/>
            </w:pPr>
            <w:r>
              <w:t>While C.S.S.B. 892 may differ from the engrossed in minor or</w:t>
            </w:r>
            <w:r>
              <w:t xml:space="preserve"> nonsubstantive ways, the following summarizes the substantial differences between the engrossed and committee substitute versions of the bill.</w:t>
            </w:r>
          </w:p>
          <w:p w:rsidR="00144947" w:rsidRDefault="002024BC" w:rsidP="00C7471A">
            <w:pPr>
              <w:jc w:val="both"/>
            </w:pPr>
          </w:p>
          <w:p w:rsidR="008A1C3B" w:rsidRDefault="002024BC" w:rsidP="00C7471A">
            <w:pPr>
              <w:jc w:val="both"/>
            </w:pPr>
            <w:r>
              <w:t xml:space="preserve">The substitute does not include a provision </w:t>
            </w:r>
            <w:r w:rsidRPr="008A1C3B">
              <w:t>expand</w:t>
            </w:r>
            <w:r>
              <w:t>ing</w:t>
            </w:r>
            <w:r w:rsidRPr="008A1C3B">
              <w:t xml:space="preserve"> the types of vehicles to which the vehicle emissions insp</w:t>
            </w:r>
            <w:r w:rsidRPr="008A1C3B">
              <w:t>ection and maintenance program applies by including any diesel-powered passenger car or light truck that meets applicable qualifications.</w:t>
            </w:r>
          </w:p>
          <w:p w:rsidR="008A1C3B" w:rsidRDefault="002024BC" w:rsidP="00C7471A">
            <w:pPr>
              <w:jc w:val="both"/>
            </w:pPr>
          </w:p>
          <w:p w:rsidR="00144947" w:rsidRDefault="002024BC" w:rsidP="00C7471A">
            <w:pPr>
              <w:jc w:val="both"/>
            </w:pPr>
            <w:r>
              <w:t>The substitute includes provisions requiring</w:t>
            </w:r>
            <w:r w:rsidRPr="008A1C3B">
              <w:t xml:space="preserve"> a court</w:t>
            </w:r>
            <w:r>
              <w:t xml:space="preserve"> to</w:t>
            </w:r>
            <w:r>
              <w:t xml:space="preserve"> </w:t>
            </w:r>
            <w:r w:rsidRPr="008A1C3B">
              <w:t xml:space="preserve">dismiss a charge for a first offense under </w:t>
            </w:r>
            <w:r>
              <w:t>the bill's</w:t>
            </w:r>
            <w:r w:rsidRPr="008A1C3B">
              <w:t xml:space="preserve"> prohibi</w:t>
            </w:r>
            <w:r w:rsidRPr="008A1C3B">
              <w:t>tion</w:t>
            </w:r>
            <w:r>
              <w:t xml:space="preserve"> under certain conditions </w:t>
            </w:r>
            <w:r>
              <w:t>and</w:t>
            </w:r>
            <w:r w:rsidRPr="008A1C3B">
              <w:t xml:space="preserve"> </w:t>
            </w:r>
            <w:r>
              <w:t xml:space="preserve">to </w:t>
            </w:r>
            <w:r w:rsidRPr="008A1C3B">
              <w:t>assess an administrative fee capped at $20 when the charge has been</w:t>
            </w:r>
            <w:r>
              <w:t xml:space="preserve"> applicably</w:t>
            </w:r>
            <w:r w:rsidRPr="008A1C3B">
              <w:t xml:space="preserve"> remedied.</w:t>
            </w:r>
          </w:p>
          <w:p w:rsidR="00144947" w:rsidRPr="00144947" w:rsidRDefault="002024BC" w:rsidP="00C7471A">
            <w:pPr>
              <w:jc w:val="both"/>
            </w:pPr>
          </w:p>
        </w:tc>
      </w:tr>
      <w:tr w:rsidR="00E66010" w:rsidTr="00345119">
        <w:tc>
          <w:tcPr>
            <w:tcW w:w="9576" w:type="dxa"/>
          </w:tcPr>
          <w:p w:rsidR="00A029C5" w:rsidRPr="009C1E9A" w:rsidRDefault="002024BC" w:rsidP="00C7471A">
            <w:pPr>
              <w:rPr>
                <w:b/>
                <w:u w:val="single"/>
              </w:rPr>
            </w:pPr>
          </w:p>
        </w:tc>
      </w:tr>
      <w:tr w:rsidR="00E66010" w:rsidTr="00345119">
        <w:tc>
          <w:tcPr>
            <w:tcW w:w="9576" w:type="dxa"/>
          </w:tcPr>
          <w:p w:rsidR="00A029C5" w:rsidRPr="00A029C5" w:rsidRDefault="002024BC" w:rsidP="00C7471A">
            <w:pPr>
              <w:jc w:val="both"/>
            </w:pPr>
          </w:p>
        </w:tc>
      </w:tr>
    </w:tbl>
    <w:p w:rsidR="008423E4" w:rsidRPr="00BE0E75" w:rsidRDefault="002024B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024B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4BC">
      <w:r>
        <w:separator/>
      </w:r>
    </w:p>
  </w:endnote>
  <w:endnote w:type="continuationSeparator" w:id="0">
    <w:p w:rsidR="00000000" w:rsidRDefault="002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2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6010" w:rsidTr="009C1E9A">
      <w:trPr>
        <w:cantSplit/>
      </w:trPr>
      <w:tc>
        <w:tcPr>
          <w:tcW w:w="0" w:type="pct"/>
        </w:tcPr>
        <w:p w:rsidR="00137D90" w:rsidRDefault="002024B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24B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24B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24B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24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6010" w:rsidTr="009C1E9A">
      <w:trPr>
        <w:cantSplit/>
      </w:trPr>
      <w:tc>
        <w:tcPr>
          <w:tcW w:w="0" w:type="pct"/>
        </w:tcPr>
        <w:p w:rsidR="00EC379B" w:rsidRDefault="002024B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24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32400</w:t>
          </w:r>
        </w:p>
      </w:tc>
      <w:tc>
        <w:tcPr>
          <w:tcW w:w="2453" w:type="pct"/>
        </w:tcPr>
        <w:p w:rsidR="00EC379B" w:rsidRDefault="002024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19.128.335</w:t>
          </w:r>
          <w:r>
            <w:fldChar w:fldCharType="end"/>
          </w:r>
        </w:p>
      </w:tc>
    </w:tr>
    <w:tr w:rsidR="00E66010" w:rsidTr="009C1E9A">
      <w:trPr>
        <w:cantSplit/>
      </w:trPr>
      <w:tc>
        <w:tcPr>
          <w:tcW w:w="0" w:type="pct"/>
        </w:tcPr>
        <w:p w:rsidR="00EC379B" w:rsidRDefault="002024B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24B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31939</w:t>
          </w:r>
        </w:p>
      </w:tc>
      <w:tc>
        <w:tcPr>
          <w:tcW w:w="2453" w:type="pct"/>
        </w:tcPr>
        <w:p w:rsidR="00EC379B" w:rsidRDefault="002024BC" w:rsidP="006D504F">
          <w:pPr>
            <w:pStyle w:val="Footer"/>
            <w:rPr>
              <w:rStyle w:val="PageNumber"/>
            </w:rPr>
          </w:pPr>
        </w:p>
        <w:p w:rsidR="00EC379B" w:rsidRDefault="002024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601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24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2024B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24B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24BC">
      <w:r>
        <w:separator/>
      </w:r>
    </w:p>
  </w:footnote>
  <w:footnote w:type="continuationSeparator" w:id="0">
    <w:p w:rsidR="00000000" w:rsidRDefault="0020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2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BA0"/>
    <w:multiLevelType w:val="hybridMultilevel"/>
    <w:tmpl w:val="1DC0917E"/>
    <w:lvl w:ilvl="0" w:tplc="74321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A6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6E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67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29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27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B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2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A4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529F"/>
    <w:multiLevelType w:val="hybridMultilevel"/>
    <w:tmpl w:val="EE4EEB4A"/>
    <w:lvl w:ilvl="0" w:tplc="4320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0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EC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AA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66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E9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C5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08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10"/>
    <w:rsid w:val="002024BC"/>
    <w:rsid w:val="00E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F33A8C-300C-47FD-9144-05C3F6C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4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1BD"/>
    <w:rPr>
      <w:b/>
      <w:bCs/>
    </w:rPr>
  </w:style>
  <w:style w:type="character" w:styleId="Hyperlink">
    <w:name w:val="Hyperlink"/>
    <w:basedOn w:val="DefaultParagraphFont"/>
    <w:unhideWhenUsed/>
    <w:rsid w:val="00EC0C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E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2442</Characters>
  <Application>Microsoft Office Word</Application>
  <DocSecurity>4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SB00892 (Committee Report (Substituted))</vt:lpstr>
    </vt:vector>
  </TitlesOfParts>
  <Company>State of Texas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32400</dc:subject>
  <dc:creator>State of Texas</dc:creator>
  <dc:description>SB 892 by Menéndez-(H)Environmental Regulation (Substitute Document Number: 86R 31939)</dc:description>
  <cp:lastModifiedBy>Scotty Wimberley</cp:lastModifiedBy>
  <cp:revision>2</cp:revision>
  <cp:lastPrinted>2003-11-26T17:21:00Z</cp:lastPrinted>
  <dcterms:created xsi:type="dcterms:W3CDTF">2019-05-14T22:34:00Z</dcterms:created>
  <dcterms:modified xsi:type="dcterms:W3CDTF">2019-05-14T22:34:00Z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19.128.335</vt:lpwstr>
  </property>
</Properties>
</file>