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076CB" w:rsidTr="00345119">
        <w:tc>
          <w:tcPr>
            <w:tcW w:w="9576" w:type="dxa"/>
            <w:noWrap/>
          </w:tcPr>
          <w:p w:rsidR="008423E4" w:rsidRPr="0022177D" w:rsidRDefault="00E65FA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65FAD" w:rsidP="008423E4">
      <w:pPr>
        <w:jc w:val="center"/>
      </w:pPr>
    </w:p>
    <w:p w:rsidR="008423E4" w:rsidRPr="00B31F0E" w:rsidRDefault="00E65FAD" w:rsidP="008423E4"/>
    <w:p w:rsidR="008423E4" w:rsidRPr="00742794" w:rsidRDefault="00E65FA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76CB" w:rsidTr="00345119">
        <w:tc>
          <w:tcPr>
            <w:tcW w:w="9576" w:type="dxa"/>
          </w:tcPr>
          <w:p w:rsidR="008423E4" w:rsidRPr="00861995" w:rsidRDefault="00E65FAD" w:rsidP="00345119">
            <w:pPr>
              <w:jc w:val="right"/>
            </w:pPr>
            <w:r>
              <w:t>S.B. 907</w:t>
            </w:r>
          </w:p>
        </w:tc>
      </w:tr>
      <w:tr w:rsidR="002076CB" w:rsidTr="00345119">
        <w:tc>
          <w:tcPr>
            <w:tcW w:w="9576" w:type="dxa"/>
          </w:tcPr>
          <w:p w:rsidR="008423E4" w:rsidRPr="00861995" w:rsidRDefault="00E65FAD" w:rsidP="00345119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2076CB" w:rsidTr="00345119">
        <w:tc>
          <w:tcPr>
            <w:tcW w:w="9576" w:type="dxa"/>
          </w:tcPr>
          <w:p w:rsidR="008423E4" w:rsidRPr="00861995" w:rsidRDefault="00E65FAD" w:rsidP="00345119">
            <w:pPr>
              <w:jc w:val="right"/>
            </w:pPr>
            <w:r>
              <w:t>Culture, Recreation &amp; Tourism</w:t>
            </w:r>
          </w:p>
        </w:tc>
      </w:tr>
      <w:tr w:rsidR="002076CB" w:rsidTr="00345119">
        <w:tc>
          <w:tcPr>
            <w:tcW w:w="9576" w:type="dxa"/>
          </w:tcPr>
          <w:p w:rsidR="008423E4" w:rsidRDefault="00E65FA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65FAD" w:rsidP="008423E4">
      <w:pPr>
        <w:tabs>
          <w:tab w:val="right" w:pos="9360"/>
        </w:tabs>
      </w:pPr>
    </w:p>
    <w:p w:rsidR="008423E4" w:rsidRDefault="00E65FAD" w:rsidP="008423E4"/>
    <w:p w:rsidR="008423E4" w:rsidRDefault="00E65FA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076CB" w:rsidTr="00345119">
        <w:tc>
          <w:tcPr>
            <w:tcW w:w="9576" w:type="dxa"/>
          </w:tcPr>
          <w:p w:rsidR="008423E4" w:rsidRPr="00A8133F" w:rsidRDefault="00E65FAD" w:rsidP="00C353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65FAD" w:rsidP="00C35314"/>
          <w:p w:rsidR="000E721B" w:rsidRDefault="00E65FAD" w:rsidP="00C35314">
            <w:pPr>
              <w:pStyle w:val="Header"/>
              <w:jc w:val="both"/>
            </w:pPr>
            <w:r>
              <w:t xml:space="preserve">It has been noted that </w:t>
            </w:r>
            <w:r w:rsidRPr="003C2D68">
              <w:t>the Republic of Texas Granite Boundary Marker</w:t>
            </w:r>
            <w:r>
              <w:t xml:space="preserve">, which </w:t>
            </w:r>
            <w:r w:rsidRPr="003C2D68">
              <w:t>designat</w:t>
            </w:r>
            <w:r>
              <w:t>es</w:t>
            </w:r>
            <w:r w:rsidRPr="003C2D68">
              <w:t xml:space="preserve"> the former international boundary between the Republic of Texas and the United States</w:t>
            </w:r>
            <w:r>
              <w:t xml:space="preserve">, is considered by many to be a treasure from a period of Texas history that has very few tangible </w:t>
            </w:r>
            <w:r>
              <w:t xml:space="preserve">artifacts </w:t>
            </w:r>
            <w:r>
              <w:t xml:space="preserve">surviving. </w:t>
            </w:r>
            <w:r>
              <w:t>Concerns have been raised regarding the preservati</w:t>
            </w:r>
            <w:r>
              <w:t xml:space="preserve">on of the marker and </w:t>
            </w:r>
            <w:r>
              <w:t>its protection</w:t>
            </w:r>
            <w:r>
              <w:t xml:space="preserve"> from time, weather, and vandalism</w:t>
            </w:r>
            <w:r>
              <w:t xml:space="preserve">. S.B. 907 seeks to address these concerns by </w:t>
            </w:r>
            <w:r w:rsidRPr="00E139C8">
              <w:t>requir</w:t>
            </w:r>
            <w:r>
              <w:t>ing</w:t>
            </w:r>
            <w:r w:rsidRPr="00E139C8">
              <w:t xml:space="preserve"> the Texas Historical Commission to preserve, maintain, and improve the boundary marker</w:t>
            </w:r>
            <w:r>
              <w:t>.</w:t>
            </w:r>
          </w:p>
          <w:p w:rsidR="008423E4" w:rsidRPr="00E26B13" w:rsidRDefault="00E65FAD" w:rsidP="00C35314">
            <w:pPr>
              <w:rPr>
                <w:b/>
              </w:rPr>
            </w:pPr>
          </w:p>
        </w:tc>
      </w:tr>
      <w:tr w:rsidR="002076CB" w:rsidTr="00345119">
        <w:tc>
          <w:tcPr>
            <w:tcW w:w="9576" w:type="dxa"/>
          </w:tcPr>
          <w:p w:rsidR="0017725B" w:rsidRDefault="00E65FAD" w:rsidP="00C353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65FAD" w:rsidP="00C35314">
            <w:pPr>
              <w:rPr>
                <w:b/>
                <w:u w:val="single"/>
              </w:rPr>
            </w:pPr>
          </w:p>
          <w:p w:rsidR="00851292" w:rsidRPr="00851292" w:rsidRDefault="00E65FAD" w:rsidP="00C35314">
            <w:pPr>
              <w:jc w:val="both"/>
            </w:pPr>
            <w:r>
              <w:t>It is the commit</w:t>
            </w:r>
            <w:r>
              <w:t>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65FAD" w:rsidP="00C35314">
            <w:pPr>
              <w:rPr>
                <w:b/>
                <w:u w:val="single"/>
              </w:rPr>
            </w:pPr>
          </w:p>
        </w:tc>
      </w:tr>
      <w:tr w:rsidR="002076CB" w:rsidTr="00345119">
        <w:tc>
          <w:tcPr>
            <w:tcW w:w="9576" w:type="dxa"/>
          </w:tcPr>
          <w:p w:rsidR="008423E4" w:rsidRPr="00A8133F" w:rsidRDefault="00E65FAD" w:rsidP="00C353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65FAD" w:rsidP="00C35314"/>
          <w:p w:rsidR="00851292" w:rsidRDefault="00E65FAD" w:rsidP="00C353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65FAD" w:rsidP="00C35314">
            <w:pPr>
              <w:rPr>
                <w:b/>
              </w:rPr>
            </w:pPr>
          </w:p>
        </w:tc>
      </w:tr>
      <w:tr w:rsidR="002076CB" w:rsidTr="00345119">
        <w:tc>
          <w:tcPr>
            <w:tcW w:w="9576" w:type="dxa"/>
          </w:tcPr>
          <w:p w:rsidR="008423E4" w:rsidRPr="00A8133F" w:rsidRDefault="00E65FAD" w:rsidP="00C353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65FAD" w:rsidP="00C35314"/>
          <w:p w:rsidR="00855CA5" w:rsidRDefault="00E65FAD" w:rsidP="00C353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907 amends the Government Code to require </w:t>
            </w:r>
            <w:r>
              <w:t>t</w:t>
            </w:r>
            <w:r w:rsidRPr="00855CA5">
              <w:t>he Texas</w:t>
            </w:r>
            <w:r w:rsidRPr="00855CA5">
              <w:t xml:space="preserve"> Historical Commission</w:t>
            </w:r>
            <w:r>
              <w:t xml:space="preserve">, to the extent authorized by law, to </w:t>
            </w:r>
            <w:r w:rsidRPr="00855CA5">
              <w:t>preserve, maintain, and improve the</w:t>
            </w:r>
            <w:r>
              <w:t xml:space="preserve"> </w:t>
            </w:r>
            <w:r>
              <w:t>boundary</w:t>
            </w:r>
            <w:r w:rsidRPr="00855CA5">
              <w:t xml:space="preserve"> marker </w:t>
            </w:r>
            <w:r>
              <w:t>and state land adjacent to the boundary marker</w:t>
            </w:r>
            <w:r>
              <w:t xml:space="preserve">. The bill defines the boundary marker as </w:t>
            </w:r>
            <w:r w:rsidRPr="0093447D">
              <w:t xml:space="preserve">the granite marker designating the former international </w:t>
            </w:r>
            <w:r w:rsidRPr="0093447D">
              <w:t>boundary between the Republic of Texas and the United States, originally placed in 1841 at its location in Panola County near Farm to Market Road No</w:t>
            </w:r>
            <w:r w:rsidRPr="0093447D">
              <w:t>.</w:t>
            </w:r>
            <w:r>
              <w:t xml:space="preserve"> </w:t>
            </w:r>
            <w:r w:rsidRPr="0093447D">
              <w:t xml:space="preserve">31, at or about </w:t>
            </w:r>
            <w:r>
              <w:t>specified coordinates</w:t>
            </w:r>
            <w:r w:rsidRPr="0093447D">
              <w:t xml:space="preserve">, and known as the Republic of Texas Granite Boundary Marker and the </w:t>
            </w:r>
            <w:r w:rsidRPr="0093447D">
              <w:t>International Boundary Marker</w:t>
            </w:r>
            <w:r>
              <w:t>. The bill requires the commission, to the extent authorized by law, to do</w:t>
            </w:r>
            <w:r>
              <w:t xml:space="preserve"> the following:</w:t>
            </w:r>
          </w:p>
          <w:p w:rsidR="00855CA5" w:rsidRDefault="00E65FAD" w:rsidP="00C3531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855CA5">
              <w:t>design and construct a structure or device sufficient to protect the boundary marker from vandalism, theft, and natural elements;</w:t>
            </w:r>
          </w:p>
          <w:p w:rsidR="00855CA5" w:rsidRDefault="00E65FAD" w:rsidP="00C3531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855CA5">
              <w:t>display</w:t>
            </w:r>
            <w:r w:rsidRPr="00855CA5">
              <w:t xml:space="preserve"> historical and educational information on a sign or plaque at the boundary marker site to inform the public of the history of the boundary marker and the region;</w:t>
            </w:r>
          </w:p>
          <w:p w:rsidR="00306E7D" w:rsidRDefault="00E65FAD" w:rsidP="00C3531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cooperat</w:t>
            </w:r>
            <w:r>
              <w:t>e</w:t>
            </w:r>
            <w:r w:rsidRPr="00306E7D">
              <w:t xml:space="preserve"> with the federal government and other persons as necessary to facilitate the implem</w:t>
            </w:r>
            <w:r w:rsidRPr="00306E7D">
              <w:t>entation of duties</w:t>
            </w:r>
            <w:r>
              <w:t xml:space="preserve"> imposed by the bill</w:t>
            </w:r>
            <w:r w:rsidRPr="00306E7D">
              <w:t>; and</w:t>
            </w:r>
          </w:p>
          <w:p w:rsidR="00306E7D" w:rsidRDefault="00E65FAD" w:rsidP="00C3531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tak</w:t>
            </w:r>
            <w:r>
              <w:t>e</w:t>
            </w:r>
            <w:r w:rsidRPr="00306E7D">
              <w:t xml:space="preserve"> other action the commission determines necessary to preserve, maintain, restore, and improve the boundary marker and the state grounds adjacent to the boundary marker for the beautification and cultural enha</w:t>
            </w:r>
            <w:r w:rsidRPr="00306E7D">
              <w:t>ncement of the property as a significant historical site in</w:t>
            </w:r>
            <w:r>
              <w:t xml:space="preserve"> Texas</w:t>
            </w:r>
            <w:r>
              <w:t xml:space="preserve">. </w:t>
            </w:r>
          </w:p>
          <w:p w:rsidR="00AE657D" w:rsidRDefault="00E65FAD" w:rsidP="00C35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</w:p>
          <w:p w:rsidR="00AE657D" w:rsidRDefault="00E65FAD" w:rsidP="00C35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S.B. 907 establishes that </w:t>
            </w:r>
            <w:r w:rsidRPr="00E77BA5">
              <w:t>any power or duty related to the boundary marker formerly vested in another state agency is vested solely in the commission</w:t>
            </w:r>
            <w:r>
              <w:t xml:space="preserve">. The bill restricts the commission's </w:t>
            </w:r>
            <w:r>
              <w:t xml:space="preserve">spending of money that is appropriated to the commission for the bill's purposes to the accomplishment of those purposes. </w:t>
            </w:r>
            <w:r>
              <w:t xml:space="preserve">The bill authorizes the commission to </w:t>
            </w:r>
            <w:r w:rsidRPr="009A101D">
              <w:t xml:space="preserve">solicit and accept gifts, grants, and donations of money or property from any public or private </w:t>
            </w:r>
            <w:r w:rsidRPr="009A101D">
              <w:t xml:space="preserve">source to be used for the </w:t>
            </w:r>
            <w:r>
              <w:t xml:space="preserve">bill's </w:t>
            </w:r>
            <w:r w:rsidRPr="009A101D">
              <w:t>purposes</w:t>
            </w:r>
            <w:r>
              <w:t xml:space="preserve">. The bill authorizes the commission, </w:t>
            </w:r>
            <w:r w:rsidRPr="009A101D">
              <w:t>in consultation with each state senator and representative in whose district the boundary marker is located and other interested parties,</w:t>
            </w:r>
            <w:r>
              <w:t xml:space="preserve"> to </w:t>
            </w:r>
            <w:r>
              <w:t>do the following:</w:t>
            </w:r>
          </w:p>
          <w:p w:rsidR="00AE657D" w:rsidRDefault="00E65FAD" w:rsidP="00C3531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A101D">
              <w:t>replace the origin</w:t>
            </w:r>
            <w:r w:rsidRPr="009A101D">
              <w:t>al boundary marker with a replica boundary marker</w:t>
            </w:r>
            <w:r>
              <w:t xml:space="preserve">; </w:t>
            </w:r>
          </w:p>
          <w:p w:rsidR="00AE657D" w:rsidRDefault="00E65FAD" w:rsidP="00C3531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9A101D">
              <w:t>preserve, maintain, and display the original boundary marker at the Bob Bullock Texas State History Museum;</w:t>
            </w:r>
            <w:r>
              <w:t xml:space="preserve"> and </w:t>
            </w:r>
          </w:p>
          <w:p w:rsidR="00564565" w:rsidRDefault="00E65FAD" w:rsidP="00C35314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perform the duties assigned by the bill </w:t>
            </w:r>
            <w:r w:rsidRPr="009A101D">
              <w:t xml:space="preserve">with respect to the replica boundary marker at the </w:t>
            </w:r>
            <w:r w:rsidRPr="009A101D">
              <w:t>original boundary marker location.</w:t>
            </w:r>
            <w:r>
              <w:t xml:space="preserve"> </w:t>
            </w:r>
          </w:p>
          <w:p w:rsidR="00E77BA5" w:rsidRDefault="00E65FAD" w:rsidP="00C353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64565">
              <w:t xml:space="preserve">The </w:t>
            </w:r>
            <w:r>
              <w:t>c</w:t>
            </w:r>
            <w:r w:rsidRPr="00564565">
              <w:t>ommission is required to implement a provision of th</w:t>
            </w:r>
            <w:r>
              <w:t>e bill</w:t>
            </w:r>
            <w:r w:rsidRPr="00564565">
              <w:t xml:space="preserve"> only if the legislature appropriates money specifically for that purpose. If the legislature does not appropriate money specifically for that purpose, the </w:t>
            </w:r>
            <w:r>
              <w:t>c</w:t>
            </w:r>
            <w:r w:rsidRPr="00564565">
              <w:t>ommission may, but is not required to, implement a provision of th</w:t>
            </w:r>
            <w:r>
              <w:t>e bill</w:t>
            </w:r>
            <w:r w:rsidRPr="00564565">
              <w:t xml:space="preserve"> using other appropriations available for that purpose.</w:t>
            </w:r>
          </w:p>
          <w:p w:rsidR="008423E4" w:rsidRPr="00855CA5" w:rsidRDefault="00E65FAD" w:rsidP="00C353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2076CB" w:rsidTr="00345119">
        <w:tc>
          <w:tcPr>
            <w:tcW w:w="9576" w:type="dxa"/>
          </w:tcPr>
          <w:p w:rsidR="008423E4" w:rsidRPr="00A8133F" w:rsidRDefault="00E65FAD" w:rsidP="00C353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65FAD" w:rsidP="00C35314"/>
          <w:p w:rsidR="008423E4" w:rsidRPr="003624F2" w:rsidRDefault="00E65FAD" w:rsidP="00C353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65FAD" w:rsidP="00C35314">
            <w:pPr>
              <w:rPr>
                <w:b/>
              </w:rPr>
            </w:pPr>
          </w:p>
        </w:tc>
      </w:tr>
    </w:tbl>
    <w:p w:rsidR="008423E4" w:rsidRPr="00BE0E75" w:rsidRDefault="00E65FA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65FA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5FAD">
      <w:r>
        <w:separator/>
      </w:r>
    </w:p>
  </w:endnote>
  <w:endnote w:type="continuationSeparator" w:id="0">
    <w:p w:rsidR="00000000" w:rsidRDefault="00E6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76CB" w:rsidTr="009C1E9A">
      <w:trPr>
        <w:cantSplit/>
      </w:trPr>
      <w:tc>
        <w:tcPr>
          <w:tcW w:w="0" w:type="pct"/>
        </w:tcPr>
        <w:p w:rsidR="00137D90" w:rsidRDefault="00E65F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65F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65FA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65F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65F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76CB" w:rsidTr="009C1E9A">
      <w:trPr>
        <w:cantSplit/>
      </w:trPr>
      <w:tc>
        <w:tcPr>
          <w:tcW w:w="0" w:type="pct"/>
        </w:tcPr>
        <w:p w:rsidR="00EC379B" w:rsidRDefault="00E65FA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65FA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33506</w:t>
          </w:r>
        </w:p>
      </w:tc>
      <w:tc>
        <w:tcPr>
          <w:tcW w:w="2453" w:type="pct"/>
        </w:tcPr>
        <w:p w:rsidR="00EC379B" w:rsidRDefault="00E65F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19.131.39</w:t>
          </w:r>
          <w:r>
            <w:fldChar w:fldCharType="end"/>
          </w:r>
        </w:p>
      </w:tc>
    </w:tr>
    <w:tr w:rsidR="002076CB" w:rsidTr="009C1E9A">
      <w:trPr>
        <w:cantSplit/>
      </w:trPr>
      <w:tc>
        <w:tcPr>
          <w:tcW w:w="0" w:type="pct"/>
        </w:tcPr>
        <w:p w:rsidR="00EC379B" w:rsidRDefault="00E65F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65FA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65FAD" w:rsidP="006D504F">
          <w:pPr>
            <w:pStyle w:val="Footer"/>
            <w:rPr>
              <w:rStyle w:val="PageNumber"/>
            </w:rPr>
          </w:pPr>
        </w:p>
        <w:p w:rsidR="00EC379B" w:rsidRDefault="00E65FA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76C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65FA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65FA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65FA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5FAD">
      <w:r>
        <w:separator/>
      </w:r>
    </w:p>
  </w:footnote>
  <w:footnote w:type="continuationSeparator" w:id="0">
    <w:p w:rsidR="00000000" w:rsidRDefault="00E65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65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B7F"/>
    <w:multiLevelType w:val="hybridMultilevel"/>
    <w:tmpl w:val="216CA5B6"/>
    <w:lvl w:ilvl="0" w:tplc="458A1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821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7A0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677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E5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74E7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7AF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282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067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6ED8"/>
    <w:multiLevelType w:val="hybridMultilevel"/>
    <w:tmpl w:val="64522D48"/>
    <w:lvl w:ilvl="0" w:tplc="7BD07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CC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8E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E7B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84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087C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949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A4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C3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CB"/>
    <w:rsid w:val="002076CB"/>
    <w:rsid w:val="00E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9CA5AF-CC82-4F44-A83C-6247FA3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A10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1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101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1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10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3332</Characters>
  <Application>Microsoft Office Word</Application>
  <DocSecurity>4</DocSecurity>
  <Lines>76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SB00907 (Committee Report (Unamended))</vt:lpstr>
    </vt:vector>
  </TitlesOfParts>
  <Company>State of Texas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33506</dc:subject>
  <dc:creator>State of Texas</dc:creator>
  <dc:description>SB 907 by Hughes-(H)Culture, Recreation &amp; Tourism</dc:description>
  <cp:lastModifiedBy>Scotty Wimberley</cp:lastModifiedBy>
  <cp:revision>2</cp:revision>
  <cp:lastPrinted>2003-11-26T17:21:00Z</cp:lastPrinted>
  <dcterms:created xsi:type="dcterms:W3CDTF">2019-05-14T14:55:00Z</dcterms:created>
  <dcterms:modified xsi:type="dcterms:W3CDTF">2019-05-14T14:55:00Z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19.131.39</vt:lpwstr>
  </property>
</Properties>
</file>