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65F06" w:rsidTr="00345119">
        <w:tc>
          <w:tcPr>
            <w:tcW w:w="9576" w:type="dxa"/>
            <w:noWrap/>
          </w:tcPr>
          <w:p w:rsidR="008423E4" w:rsidRPr="0022177D" w:rsidRDefault="00F9606F" w:rsidP="00345119">
            <w:pPr>
              <w:pStyle w:val="Heading1"/>
            </w:pPr>
            <w:bookmarkStart w:id="0" w:name="_GoBack"/>
            <w:bookmarkEnd w:id="0"/>
            <w:r w:rsidRPr="00631897">
              <w:t>BILL ANALYSIS</w:t>
            </w:r>
          </w:p>
        </w:tc>
      </w:tr>
    </w:tbl>
    <w:p w:rsidR="008423E4" w:rsidRPr="0022177D" w:rsidRDefault="00F9606F" w:rsidP="008423E4">
      <w:pPr>
        <w:jc w:val="center"/>
      </w:pPr>
    </w:p>
    <w:p w:rsidR="008423E4" w:rsidRPr="00B31F0E" w:rsidRDefault="00F9606F" w:rsidP="008423E4"/>
    <w:p w:rsidR="008423E4" w:rsidRPr="00742794" w:rsidRDefault="00F9606F" w:rsidP="008423E4">
      <w:pPr>
        <w:tabs>
          <w:tab w:val="right" w:pos="9360"/>
        </w:tabs>
      </w:pPr>
    </w:p>
    <w:tbl>
      <w:tblPr>
        <w:tblW w:w="0" w:type="auto"/>
        <w:tblLayout w:type="fixed"/>
        <w:tblLook w:val="01E0" w:firstRow="1" w:lastRow="1" w:firstColumn="1" w:lastColumn="1" w:noHBand="0" w:noVBand="0"/>
      </w:tblPr>
      <w:tblGrid>
        <w:gridCol w:w="9576"/>
      </w:tblGrid>
      <w:tr w:rsidR="00765F06" w:rsidTr="00345119">
        <w:tc>
          <w:tcPr>
            <w:tcW w:w="9576" w:type="dxa"/>
          </w:tcPr>
          <w:p w:rsidR="008423E4" w:rsidRPr="00861995" w:rsidRDefault="00F9606F" w:rsidP="00345119">
            <w:pPr>
              <w:jc w:val="right"/>
            </w:pPr>
            <w:r>
              <w:t>S.B. 956</w:t>
            </w:r>
          </w:p>
        </w:tc>
      </w:tr>
      <w:tr w:rsidR="00765F06" w:rsidTr="00345119">
        <w:tc>
          <w:tcPr>
            <w:tcW w:w="9576" w:type="dxa"/>
          </w:tcPr>
          <w:p w:rsidR="008423E4" w:rsidRPr="00861995" w:rsidRDefault="00F9606F" w:rsidP="0033247E">
            <w:pPr>
              <w:jc w:val="right"/>
            </w:pPr>
            <w:r>
              <w:t xml:space="preserve">By: </w:t>
            </w:r>
            <w:r>
              <w:t>Bettencourt</w:t>
            </w:r>
          </w:p>
        </w:tc>
      </w:tr>
      <w:tr w:rsidR="00765F06" w:rsidTr="00345119">
        <w:tc>
          <w:tcPr>
            <w:tcW w:w="9576" w:type="dxa"/>
          </w:tcPr>
          <w:p w:rsidR="008423E4" w:rsidRPr="00861995" w:rsidRDefault="00F9606F" w:rsidP="00345119">
            <w:pPr>
              <w:jc w:val="right"/>
            </w:pPr>
            <w:r>
              <w:t>Ways &amp; Means</w:t>
            </w:r>
          </w:p>
        </w:tc>
      </w:tr>
      <w:tr w:rsidR="00765F06" w:rsidTr="00345119">
        <w:tc>
          <w:tcPr>
            <w:tcW w:w="9576" w:type="dxa"/>
          </w:tcPr>
          <w:p w:rsidR="008423E4" w:rsidRDefault="00F9606F" w:rsidP="00345119">
            <w:pPr>
              <w:jc w:val="right"/>
            </w:pPr>
            <w:r>
              <w:t>Committee Report (Unamended)</w:t>
            </w:r>
          </w:p>
        </w:tc>
      </w:tr>
    </w:tbl>
    <w:p w:rsidR="008423E4" w:rsidRDefault="00F9606F" w:rsidP="008423E4">
      <w:pPr>
        <w:tabs>
          <w:tab w:val="right" w:pos="9360"/>
        </w:tabs>
      </w:pPr>
    </w:p>
    <w:p w:rsidR="008423E4" w:rsidRDefault="00F9606F" w:rsidP="008423E4"/>
    <w:p w:rsidR="008423E4" w:rsidRDefault="00F9606F" w:rsidP="008423E4"/>
    <w:tbl>
      <w:tblPr>
        <w:tblW w:w="0" w:type="auto"/>
        <w:tblCellMar>
          <w:left w:w="115" w:type="dxa"/>
          <w:right w:w="115" w:type="dxa"/>
        </w:tblCellMar>
        <w:tblLook w:val="01E0" w:firstRow="1" w:lastRow="1" w:firstColumn="1" w:lastColumn="1" w:noHBand="0" w:noVBand="0"/>
      </w:tblPr>
      <w:tblGrid>
        <w:gridCol w:w="9576"/>
      </w:tblGrid>
      <w:tr w:rsidR="00765F06" w:rsidTr="00345119">
        <w:tc>
          <w:tcPr>
            <w:tcW w:w="9576" w:type="dxa"/>
          </w:tcPr>
          <w:p w:rsidR="008423E4" w:rsidRDefault="00F9606F" w:rsidP="00E22ECB">
            <w:pPr>
              <w:rPr>
                <w:b/>
              </w:rPr>
            </w:pPr>
            <w:r w:rsidRPr="009C1E9A">
              <w:rPr>
                <w:b/>
                <w:u w:val="single"/>
              </w:rPr>
              <w:t>BACKGROUND AND PURPOSE</w:t>
            </w:r>
            <w:r>
              <w:rPr>
                <w:b/>
              </w:rPr>
              <w:t xml:space="preserve"> </w:t>
            </w:r>
          </w:p>
          <w:p w:rsidR="00814EB9" w:rsidRPr="00A8133F" w:rsidRDefault="00F9606F" w:rsidP="00E22ECB">
            <w:pPr>
              <w:rPr>
                <w:b/>
              </w:rPr>
            </w:pPr>
          </w:p>
          <w:p w:rsidR="0055326F" w:rsidRDefault="00F9606F" w:rsidP="00E22ECB">
            <w:pPr>
              <w:pStyle w:val="Header"/>
              <w:jc w:val="both"/>
            </w:pPr>
            <w:r>
              <w:t>It has been suggested that b</w:t>
            </w:r>
            <w:r w:rsidRPr="003C69A9">
              <w:t xml:space="preserve">usiness personal property can be difficult to locate and complicated to value. </w:t>
            </w:r>
            <w:r>
              <w:t>Because</w:t>
            </w:r>
            <w:r w:rsidRPr="003C69A9">
              <w:t xml:space="preserve"> </w:t>
            </w:r>
            <w:r>
              <w:t xml:space="preserve">property tax </w:t>
            </w:r>
            <w:r w:rsidRPr="003C69A9">
              <w:t xml:space="preserve">rendition statements are due during </w:t>
            </w:r>
            <w:r>
              <w:t>one of the</w:t>
            </w:r>
            <w:r w:rsidRPr="003C69A9">
              <w:t xml:space="preserve"> busiest time</w:t>
            </w:r>
            <w:r>
              <w:t>s</w:t>
            </w:r>
            <w:r w:rsidRPr="003C69A9">
              <w:t xml:space="preserve"> of </w:t>
            </w:r>
            <w:r>
              <w:t xml:space="preserve">the </w:t>
            </w:r>
            <w:r w:rsidRPr="003C69A9">
              <w:t xml:space="preserve">year for tax preparers, mistakes </w:t>
            </w:r>
            <w:r>
              <w:t>can occur</w:t>
            </w:r>
            <w:r w:rsidRPr="003C69A9">
              <w:t xml:space="preserve">. </w:t>
            </w:r>
            <w:r>
              <w:t xml:space="preserve">Acknowledging that fact, S.B. 956 seeks to provide for </w:t>
            </w:r>
            <w:r w:rsidRPr="00AE2720">
              <w:t>the appraisal roll or related appraisal records</w:t>
            </w:r>
            <w:r w:rsidRPr="003C69A9">
              <w:t xml:space="preserve"> </w:t>
            </w:r>
            <w:r>
              <w:t xml:space="preserve">to be changed to correct </w:t>
            </w:r>
            <w:r w:rsidRPr="00AE2720">
              <w:t>an inaccuracy in</w:t>
            </w:r>
            <w:r w:rsidRPr="00AE2720">
              <w:t xml:space="preserve"> appraised value that is the result of an error or omission in a rendition statement</w:t>
            </w:r>
            <w:r>
              <w:t>.</w:t>
            </w:r>
          </w:p>
          <w:p w:rsidR="008423E4" w:rsidRPr="00E26B13" w:rsidRDefault="00F9606F" w:rsidP="00E22ECB">
            <w:pPr>
              <w:rPr>
                <w:b/>
              </w:rPr>
            </w:pPr>
          </w:p>
        </w:tc>
      </w:tr>
      <w:tr w:rsidR="00765F06" w:rsidTr="00345119">
        <w:tc>
          <w:tcPr>
            <w:tcW w:w="9576" w:type="dxa"/>
          </w:tcPr>
          <w:p w:rsidR="0017725B" w:rsidRDefault="00F9606F" w:rsidP="00E22ECB">
            <w:pPr>
              <w:rPr>
                <w:b/>
                <w:u w:val="single"/>
              </w:rPr>
            </w:pPr>
            <w:r>
              <w:rPr>
                <w:b/>
                <w:u w:val="single"/>
              </w:rPr>
              <w:t>CRIMINAL JUSTICE IMPACT</w:t>
            </w:r>
          </w:p>
          <w:p w:rsidR="0017725B" w:rsidRDefault="00F9606F" w:rsidP="00E22ECB">
            <w:pPr>
              <w:rPr>
                <w:b/>
                <w:u w:val="single"/>
              </w:rPr>
            </w:pPr>
          </w:p>
          <w:p w:rsidR="008D09D1" w:rsidRPr="008D09D1" w:rsidRDefault="00F9606F" w:rsidP="00E22ECB">
            <w:pPr>
              <w:jc w:val="both"/>
            </w:pPr>
            <w:r>
              <w:t>It is the committee's opinion that this bill does not expressly create a criminal offense, increase the punishment for an existing criminal off</w:t>
            </w:r>
            <w:r>
              <w:t>ense or category of offenses, or change the eligibility of a person for community supervision, parole, or mandatory supervision.</w:t>
            </w:r>
          </w:p>
          <w:p w:rsidR="0017725B" w:rsidRPr="0017725B" w:rsidRDefault="00F9606F" w:rsidP="00E22ECB">
            <w:pPr>
              <w:rPr>
                <w:b/>
                <w:u w:val="single"/>
              </w:rPr>
            </w:pPr>
          </w:p>
        </w:tc>
      </w:tr>
      <w:tr w:rsidR="00765F06" w:rsidTr="00345119">
        <w:tc>
          <w:tcPr>
            <w:tcW w:w="9576" w:type="dxa"/>
          </w:tcPr>
          <w:p w:rsidR="008423E4" w:rsidRPr="00A8133F" w:rsidRDefault="00F9606F" w:rsidP="00E22ECB">
            <w:pPr>
              <w:rPr>
                <w:b/>
              </w:rPr>
            </w:pPr>
            <w:r w:rsidRPr="009C1E9A">
              <w:rPr>
                <w:b/>
                <w:u w:val="single"/>
              </w:rPr>
              <w:t>RULEMAKING AUTHORITY</w:t>
            </w:r>
            <w:r>
              <w:rPr>
                <w:b/>
              </w:rPr>
              <w:t xml:space="preserve"> </w:t>
            </w:r>
          </w:p>
          <w:p w:rsidR="008423E4" w:rsidRDefault="00F9606F" w:rsidP="00E22ECB"/>
          <w:p w:rsidR="008D09D1" w:rsidRDefault="00F9606F" w:rsidP="00E22ECB">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F9606F" w:rsidP="00E22ECB">
            <w:pPr>
              <w:rPr>
                <w:b/>
              </w:rPr>
            </w:pPr>
          </w:p>
        </w:tc>
      </w:tr>
      <w:tr w:rsidR="00765F06" w:rsidTr="00345119">
        <w:tc>
          <w:tcPr>
            <w:tcW w:w="9576" w:type="dxa"/>
          </w:tcPr>
          <w:p w:rsidR="008423E4" w:rsidRPr="00A8133F" w:rsidRDefault="00F9606F" w:rsidP="00E22ECB">
            <w:pPr>
              <w:rPr>
                <w:b/>
              </w:rPr>
            </w:pPr>
            <w:r w:rsidRPr="009C1E9A">
              <w:rPr>
                <w:b/>
                <w:u w:val="single"/>
              </w:rPr>
              <w:t>ANALYSIS</w:t>
            </w:r>
            <w:r>
              <w:rPr>
                <w:b/>
              </w:rPr>
              <w:t xml:space="preserve"> </w:t>
            </w:r>
          </w:p>
          <w:p w:rsidR="008423E4" w:rsidRDefault="00F9606F" w:rsidP="00E22ECB"/>
          <w:p w:rsidR="00FD5830" w:rsidRDefault="00F9606F" w:rsidP="00E22ECB">
            <w:pPr>
              <w:pStyle w:val="Header"/>
              <w:jc w:val="both"/>
            </w:pPr>
            <w:r>
              <w:t xml:space="preserve">S.B. </w:t>
            </w:r>
            <w:r>
              <w:t>956</w:t>
            </w:r>
            <w:r>
              <w:t xml:space="preserve"> amends the Tax Code to authorize </w:t>
            </w:r>
            <w:r>
              <w:t xml:space="preserve">an </w:t>
            </w:r>
            <w:r>
              <w:t>appraisal review board</w:t>
            </w:r>
            <w:r>
              <w:t xml:space="preserve"> (ARB)</w:t>
            </w:r>
            <w:r>
              <w:t>, on motion of the chief appraiser or of a property owner, to direct by written order changes in the app</w:t>
            </w:r>
            <w:r>
              <w:t>raisal roll or related appraisal records for the current tax year and for either of the two preceding tax years to correct an inaccuracy in the appraised value of the owner's tangible personal property that is the result of an error or omission in a rendit</w:t>
            </w:r>
            <w:r>
              <w:t>ion statement or property report for the applicable tax year. The bill prohibits the roll from being changed for any tax year in which:</w:t>
            </w:r>
          </w:p>
          <w:p w:rsidR="00FD5830" w:rsidRDefault="00F9606F" w:rsidP="00E22ECB">
            <w:pPr>
              <w:pStyle w:val="Header"/>
              <w:numPr>
                <w:ilvl w:val="0"/>
                <w:numId w:val="1"/>
              </w:numPr>
              <w:spacing w:before="120" w:after="120"/>
              <w:jc w:val="both"/>
            </w:pPr>
            <w:r>
              <w:t>the property owner failed to file the rendition statement or property report before the filing deadline and was assessed</w:t>
            </w:r>
            <w:r>
              <w:t xml:space="preserve"> a penalty for </w:t>
            </w:r>
            <w:r>
              <w:t xml:space="preserve">a </w:t>
            </w:r>
            <w:r>
              <w:t>delinquent report;</w:t>
            </w:r>
          </w:p>
          <w:p w:rsidR="00FD5830" w:rsidRDefault="00F9606F" w:rsidP="00E22ECB">
            <w:pPr>
              <w:pStyle w:val="Header"/>
              <w:numPr>
                <w:ilvl w:val="0"/>
                <w:numId w:val="1"/>
              </w:numPr>
              <w:spacing w:before="120" w:after="120"/>
              <w:jc w:val="both"/>
            </w:pPr>
            <w:r>
              <w:t xml:space="preserve">the property was the subject of a protest brought by the property owner, a hearing on the protest was conducted in which the owner offered evidence or argument, and the </w:t>
            </w:r>
            <w:r>
              <w:t>ARB</w:t>
            </w:r>
            <w:r>
              <w:t xml:space="preserve"> made a determination of the protest on the meri</w:t>
            </w:r>
            <w:r>
              <w:t>ts;</w:t>
            </w:r>
          </w:p>
          <w:p w:rsidR="00FD5830" w:rsidRDefault="00F9606F" w:rsidP="00E22ECB">
            <w:pPr>
              <w:pStyle w:val="Header"/>
              <w:numPr>
                <w:ilvl w:val="0"/>
                <w:numId w:val="1"/>
              </w:numPr>
              <w:spacing w:before="120" w:after="120"/>
              <w:jc w:val="both"/>
            </w:pPr>
            <w:r>
              <w:t xml:space="preserve">the property was the subject of a previous motion </w:t>
            </w:r>
            <w:r>
              <w:t xml:space="preserve">to correct the appraisal roll </w:t>
            </w:r>
            <w:r>
              <w:t xml:space="preserve">filed by the property owner and the chief appraiser and the owner agreed to the correction, the </w:t>
            </w:r>
            <w:r>
              <w:t>ARB</w:t>
            </w:r>
            <w:r>
              <w:t xml:space="preserve"> determined the motion, or the </w:t>
            </w:r>
            <w:r>
              <w:t>ARB</w:t>
            </w:r>
            <w:r>
              <w:t xml:space="preserve"> determined that the owner forfeited th</w:t>
            </w:r>
            <w:r>
              <w:t xml:space="preserve">e right to a final determination of the motion for failing to comply with </w:t>
            </w:r>
            <w:r>
              <w:t xml:space="preserve">certain </w:t>
            </w:r>
            <w:r>
              <w:t>prepayment requirements; or</w:t>
            </w:r>
          </w:p>
          <w:p w:rsidR="008423E4" w:rsidRDefault="00F9606F" w:rsidP="00E22ECB">
            <w:pPr>
              <w:pStyle w:val="Header"/>
              <w:numPr>
                <w:ilvl w:val="0"/>
                <w:numId w:val="1"/>
              </w:numPr>
              <w:tabs>
                <w:tab w:val="clear" w:pos="4320"/>
                <w:tab w:val="clear" w:pos="8640"/>
              </w:tabs>
              <w:spacing w:before="120" w:after="120"/>
              <w:jc w:val="both"/>
            </w:pPr>
            <w:r>
              <w:t xml:space="preserve">the </w:t>
            </w:r>
            <w:r>
              <w:t xml:space="preserve">property's </w:t>
            </w:r>
            <w:r>
              <w:t>appraised value was established as a result of a written agreement between the property owner or the owner's agent and the appraisa</w:t>
            </w:r>
            <w:r>
              <w:t>l district.</w:t>
            </w:r>
          </w:p>
          <w:p w:rsidR="00892404" w:rsidRDefault="00F9606F" w:rsidP="00E22ECB">
            <w:pPr>
              <w:pStyle w:val="Header"/>
              <w:tabs>
                <w:tab w:val="clear" w:pos="4320"/>
                <w:tab w:val="clear" w:pos="8640"/>
              </w:tabs>
              <w:jc w:val="both"/>
            </w:pPr>
          </w:p>
          <w:p w:rsidR="008423E4" w:rsidRDefault="00F9606F" w:rsidP="00E22ECB">
            <w:pPr>
              <w:pStyle w:val="Header"/>
              <w:tabs>
                <w:tab w:val="clear" w:pos="4320"/>
                <w:tab w:val="clear" w:pos="8640"/>
              </w:tabs>
              <w:jc w:val="both"/>
              <w:rPr>
                <w:b/>
              </w:rPr>
            </w:pPr>
            <w:r>
              <w:t xml:space="preserve">S.B. </w:t>
            </w:r>
            <w:r>
              <w:t>956</w:t>
            </w:r>
            <w:r>
              <w:t xml:space="preserve"> entitles a party bringing such a motion,</w:t>
            </w:r>
            <w:r w:rsidRPr="005C2013">
              <w:t xml:space="preserve"> on request</w:t>
            </w:r>
            <w:r>
              <w:t>,</w:t>
            </w:r>
            <w:r w:rsidRPr="005C2013">
              <w:t xml:space="preserve"> to a hearing on and a determination of the motio</w:t>
            </w:r>
            <w:r>
              <w:t xml:space="preserve">n by the </w:t>
            </w:r>
            <w:r>
              <w:t>ARB</w:t>
            </w:r>
            <w:r>
              <w:t xml:space="preserve"> i</w:t>
            </w:r>
            <w:r w:rsidRPr="008D09D1">
              <w:t>f the chief appraiser and the property owner do not agree to the correction before the 15th day after the date the moti</w:t>
            </w:r>
            <w:r w:rsidRPr="008D09D1">
              <w:t>on is filed</w:t>
            </w:r>
            <w:r>
              <w:t xml:space="preserve">. The bill requires a hearing on such a motion to be conducted in the manner provided </w:t>
            </w:r>
            <w:r>
              <w:t>for a</w:t>
            </w:r>
            <w:r>
              <w:t xml:space="preserve"> taxpayer protest. </w:t>
            </w:r>
            <w:r>
              <w:rPr>
                <w:b/>
              </w:rPr>
              <w:t xml:space="preserve"> </w:t>
            </w:r>
          </w:p>
          <w:p w:rsidR="00E0150A" w:rsidRPr="00835628" w:rsidRDefault="00F9606F" w:rsidP="00E22ECB">
            <w:pPr>
              <w:pStyle w:val="Header"/>
              <w:tabs>
                <w:tab w:val="clear" w:pos="4320"/>
                <w:tab w:val="clear" w:pos="8640"/>
              </w:tabs>
              <w:jc w:val="both"/>
              <w:rPr>
                <w:b/>
              </w:rPr>
            </w:pPr>
          </w:p>
        </w:tc>
      </w:tr>
      <w:tr w:rsidR="00765F06" w:rsidTr="00345119">
        <w:tc>
          <w:tcPr>
            <w:tcW w:w="9576" w:type="dxa"/>
          </w:tcPr>
          <w:p w:rsidR="008423E4" w:rsidRPr="00A8133F" w:rsidRDefault="00F9606F" w:rsidP="00E22ECB">
            <w:pPr>
              <w:rPr>
                <w:b/>
              </w:rPr>
            </w:pPr>
            <w:r w:rsidRPr="009C1E9A">
              <w:rPr>
                <w:b/>
                <w:u w:val="single"/>
              </w:rPr>
              <w:t>EFFECTIVE DATE</w:t>
            </w:r>
            <w:r>
              <w:rPr>
                <w:b/>
              </w:rPr>
              <w:t xml:space="preserve"> </w:t>
            </w:r>
          </w:p>
          <w:p w:rsidR="008423E4" w:rsidRDefault="00F9606F" w:rsidP="00E22ECB"/>
          <w:p w:rsidR="008423E4" w:rsidRPr="003624F2" w:rsidRDefault="00F9606F" w:rsidP="00E22ECB">
            <w:pPr>
              <w:pStyle w:val="Header"/>
              <w:tabs>
                <w:tab w:val="clear" w:pos="4320"/>
                <w:tab w:val="clear" w:pos="8640"/>
              </w:tabs>
              <w:jc w:val="both"/>
            </w:pPr>
            <w:r>
              <w:t>September 1, 2019.</w:t>
            </w:r>
          </w:p>
          <w:p w:rsidR="008423E4" w:rsidRPr="00233FDB" w:rsidRDefault="00F9606F" w:rsidP="00E22ECB">
            <w:pPr>
              <w:rPr>
                <w:b/>
              </w:rPr>
            </w:pPr>
          </w:p>
        </w:tc>
      </w:tr>
    </w:tbl>
    <w:p w:rsidR="008423E4" w:rsidRPr="00BE0E75" w:rsidRDefault="00F9606F" w:rsidP="008423E4">
      <w:pPr>
        <w:spacing w:line="480" w:lineRule="auto"/>
        <w:jc w:val="both"/>
        <w:rPr>
          <w:rFonts w:ascii="Arial" w:hAnsi="Arial"/>
          <w:sz w:val="16"/>
          <w:szCs w:val="16"/>
        </w:rPr>
      </w:pPr>
    </w:p>
    <w:p w:rsidR="004108C3" w:rsidRPr="008423E4" w:rsidRDefault="00F9606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606F">
      <w:r>
        <w:separator/>
      </w:r>
    </w:p>
  </w:endnote>
  <w:endnote w:type="continuationSeparator" w:id="0">
    <w:p w:rsidR="00000000" w:rsidRDefault="00F9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6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65F06" w:rsidTr="009C1E9A">
      <w:trPr>
        <w:cantSplit/>
      </w:trPr>
      <w:tc>
        <w:tcPr>
          <w:tcW w:w="0" w:type="pct"/>
        </w:tcPr>
        <w:p w:rsidR="00137D90" w:rsidRDefault="00F9606F" w:rsidP="009C1E9A">
          <w:pPr>
            <w:pStyle w:val="Footer"/>
            <w:tabs>
              <w:tab w:val="clear" w:pos="8640"/>
              <w:tab w:val="right" w:pos="9360"/>
            </w:tabs>
          </w:pPr>
        </w:p>
      </w:tc>
      <w:tc>
        <w:tcPr>
          <w:tcW w:w="2395" w:type="pct"/>
        </w:tcPr>
        <w:p w:rsidR="00137D90" w:rsidRDefault="00F9606F" w:rsidP="009C1E9A">
          <w:pPr>
            <w:pStyle w:val="Footer"/>
            <w:tabs>
              <w:tab w:val="clear" w:pos="8640"/>
              <w:tab w:val="right" w:pos="9360"/>
            </w:tabs>
          </w:pPr>
        </w:p>
        <w:p w:rsidR="001A4310" w:rsidRDefault="00F9606F" w:rsidP="009C1E9A">
          <w:pPr>
            <w:pStyle w:val="Footer"/>
            <w:tabs>
              <w:tab w:val="clear" w:pos="8640"/>
              <w:tab w:val="right" w:pos="9360"/>
            </w:tabs>
          </w:pPr>
        </w:p>
        <w:p w:rsidR="00137D90" w:rsidRDefault="00F9606F" w:rsidP="009C1E9A">
          <w:pPr>
            <w:pStyle w:val="Footer"/>
            <w:tabs>
              <w:tab w:val="clear" w:pos="8640"/>
              <w:tab w:val="right" w:pos="9360"/>
            </w:tabs>
          </w:pPr>
        </w:p>
      </w:tc>
      <w:tc>
        <w:tcPr>
          <w:tcW w:w="2453" w:type="pct"/>
        </w:tcPr>
        <w:p w:rsidR="00137D90" w:rsidRDefault="00F9606F" w:rsidP="009C1E9A">
          <w:pPr>
            <w:pStyle w:val="Footer"/>
            <w:tabs>
              <w:tab w:val="clear" w:pos="8640"/>
              <w:tab w:val="right" w:pos="9360"/>
            </w:tabs>
            <w:jc w:val="right"/>
          </w:pPr>
        </w:p>
      </w:tc>
    </w:tr>
    <w:tr w:rsidR="00765F06" w:rsidTr="009C1E9A">
      <w:trPr>
        <w:cantSplit/>
      </w:trPr>
      <w:tc>
        <w:tcPr>
          <w:tcW w:w="0" w:type="pct"/>
        </w:tcPr>
        <w:p w:rsidR="00EC379B" w:rsidRDefault="00F9606F" w:rsidP="009C1E9A">
          <w:pPr>
            <w:pStyle w:val="Footer"/>
            <w:tabs>
              <w:tab w:val="clear" w:pos="8640"/>
              <w:tab w:val="right" w:pos="9360"/>
            </w:tabs>
          </w:pPr>
        </w:p>
      </w:tc>
      <w:tc>
        <w:tcPr>
          <w:tcW w:w="2395" w:type="pct"/>
        </w:tcPr>
        <w:p w:rsidR="00EC379B" w:rsidRPr="009C1E9A" w:rsidRDefault="00F9606F" w:rsidP="009C1E9A">
          <w:pPr>
            <w:pStyle w:val="Footer"/>
            <w:tabs>
              <w:tab w:val="clear" w:pos="8640"/>
              <w:tab w:val="right" w:pos="9360"/>
            </w:tabs>
            <w:rPr>
              <w:rFonts w:ascii="Shruti" w:hAnsi="Shruti"/>
              <w:sz w:val="22"/>
            </w:rPr>
          </w:pPr>
          <w:r>
            <w:rPr>
              <w:rFonts w:ascii="Shruti" w:hAnsi="Shruti"/>
              <w:sz w:val="22"/>
            </w:rPr>
            <w:t>86R 30346</w:t>
          </w:r>
        </w:p>
      </w:tc>
      <w:tc>
        <w:tcPr>
          <w:tcW w:w="2453" w:type="pct"/>
        </w:tcPr>
        <w:p w:rsidR="00EC379B" w:rsidRDefault="00F9606F" w:rsidP="009C1E9A">
          <w:pPr>
            <w:pStyle w:val="Footer"/>
            <w:tabs>
              <w:tab w:val="clear" w:pos="8640"/>
              <w:tab w:val="right" w:pos="9360"/>
            </w:tabs>
            <w:jc w:val="right"/>
          </w:pPr>
          <w:r>
            <w:fldChar w:fldCharType="begin"/>
          </w:r>
          <w:r>
            <w:instrText xml:space="preserve"> DOCPROPERTY  OTID  \* MERGEFORMAT </w:instrText>
          </w:r>
          <w:r>
            <w:fldChar w:fldCharType="separate"/>
          </w:r>
          <w:r>
            <w:t>19.119.10</w:t>
          </w:r>
          <w:r>
            <w:fldChar w:fldCharType="end"/>
          </w:r>
        </w:p>
      </w:tc>
    </w:tr>
    <w:tr w:rsidR="00765F06" w:rsidTr="009C1E9A">
      <w:trPr>
        <w:cantSplit/>
      </w:trPr>
      <w:tc>
        <w:tcPr>
          <w:tcW w:w="0" w:type="pct"/>
        </w:tcPr>
        <w:p w:rsidR="00EC379B" w:rsidRDefault="00F9606F" w:rsidP="009C1E9A">
          <w:pPr>
            <w:pStyle w:val="Footer"/>
            <w:tabs>
              <w:tab w:val="clear" w:pos="4320"/>
              <w:tab w:val="clear" w:pos="8640"/>
              <w:tab w:val="left" w:pos="2865"/>
            </w:tabs>
          </w:pPr>
        </w:p>
      </w:tc>
      <w:tc>
        <w:tcPr>
          <w:tcW w:w="2395" w:type="pct"/>
        </w:tcPr>
        <w:p w:rsidR="00EC379B" w:rsidRPr="009C1E9A" w:rsidRDefault="00F9606F" w:rsidP="009C1E9A">
          <w:pPr>
            <w:pStyle w:val="Footer"/>
            <w:tabs>
              <w:tab w:val="clear" w:pos="4320"/>
              <w:tab w:val="clear" w:pos="8640"/>
              <w:tab w:val="left" w:pos="2865"/>
            </w:tabs>
            <w:rPr>
              <w:rFonts w:ascii="Shruti" w:hAnsi="Shruti"/>
              <w:sz w:val="22"/>
            </w:rPr>
          </w:pPr>
        </w:p>
      </w:tc>
      <w:tc>
        <w:tcPr>
          <w:tcW w:w="2453" w:type="pct"/>
        </w:tcPr>
        <w:p w:rsidR="00EC379B" w:rsidRDefault="00F9606F" w:rsidP="006D504F">
          <w:pPr>
            <w:pStyle w:val="Footer"/>
            <w:rPr>
              <w:rStyle w:val="PageNumber"/>
            </w:rPr>
          </w:pPr>
        </w:p>
        <w:p w:rsidR="00EC379B" w:rsidRDefault="00F9606F" w:rsidP="009C1E9A">
          <w:pPr>
            <w:pStyle w:val="Footer"/>
            <w:tabs>
              <w:tab w:val="clear" w:pos="8640"/>
              <w:tab w:val="right" w:pos="9360"/>
            </w:tabs>
            <w:jc w:val="right"/>
          </w:pPr>
        </w:p>
      </w:tc>
    </w:tr>
    <w:tr w:rsidR="00765F06" w:rsidTr="009C1E9A">
      <w:trPr>
        <w:cantSplit/>
        <w:trHeight w:val="323"/>
      </w:trPr>
      <w:tc>
        <w:tcPr>
          <w:tcW w:w="0" w:type="pct"/>
          <w:gridSpan w:val="3"/>
        </w:tcPr>
        <w:p w:rsidR="00EC379B" w:rsidRDefault="00F9606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9606F" w:rsidP="009C1E9A">
          <w:pPr>
            <w:pStyle w:val="Footer"/>
            <w:tabs>
              <w:tab w:val="clear" w:pos="8640"/>
              <w:tab w:val="right" w:pos="9360"/>
            </w:tabs>
            <w:jc w:val="center"/>
          </w:pPr>
        </w:p>
      </w:tc>
    </w:tr>
  </w:tbl>
  <w:p w:rsidR="00EC379B" w:rsidRPr="00FF6F72" w:rsidRDefault="00F9606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606F">
      <w:r>
        <w:separator/>
      </w:r>
    </w:p>
  </w:footnote>
  <w:footnote w:type="continuationSeparator" w:id="0">
    <w:p w:rsidR="00000000" w:rsidRDefault="00F9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6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6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96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4D1"/>
    <w:multiLevelType w:val="hybridMultilevel"/>
    <w:tmpl w:val="32045510"/>
    <w:lvl w:ilvl="0" w:tplc="692E83FA">
      <w:start w:val="1"/>
      <w:numFmt w:val="decimal"/>
      <w:lvlText w:val="(%1)"/>
      <w:lvlJc w:val="left"/>
      <w:pPr>
        <w:ind w:left="880" w:hanging="520"/>
      </w:pPr>
      <w:rPr>
        <w:rFonts w:hint="default"/>
      </w:rPr>
    </w:lvl>
    <w:lvl w:ilvl="1" w:tplc="8514BD0E" w:tentative="1">
      <w:start w:val="1"/>
      <w:numFmt w:val="lowerLetter"/>
      <w:lvlText w:val="%2."/>
      <w:lvlJc w:val="left"/>
      <w:pPr>
        <w:ind w:left="1440" w:hanging="360"/>
      </w:pPr>
    </w:lvl>
    <w:lvl w:ilvl="2" w:tplc="7186814A" w:tentative="1">
      <w:start w:val="1"/>
      <w:numFmt w:val="lowerRoman"/>
      <w:lvlText w:val="%3."/>
      <w:lvlJc w:val="right"/>
      <w:pPr>
        <w:ind w:left="2160" w:hanging="180"/>
      </w:pPr>
    </w:lvl>
    <w:lvl w:ilvl="3" w:tplc="7660C800" w:tentative="1">
      <w:start w:val="1"/>
      <w:numFmt w:val="decimal"/>
      <w:lvlText w:val="%4."/>
      <w:lvlJc w:val="left"/>
      <w:pPr>
        <w:ind w:left="2880" w:hanging="360"/>
      </w:pPr>
    </w:lvl>
    <w:lvl w:ilvl="4" w:tplc="51C8DC0C" w:tentative="1">
      <w:start w:val="1"/>
      <w:numFmt w:val="lowerLetter"/>
      <w:lvlText w:val="%5."/>
      <w:lvlJc w:val="left"/>
      <w:pPr>
        <w:ind w:left="3600" w:hanging="360"/>
      </w:pPr>
    </w:lvl>
    <w:lvl w:ilvl="5" w:tplc="6982FD04" w:tentative="1">
      <w:start w:val="1"/>
      <w:numFmt w:val="lowerRoman"/>
      <w:lvlText w:val="%6."/>
      <w:lvlJc w:val="right"/>
      <w:pPr>
        <w:ind w:left="4320" w:hanging="180"/>
      </w:pPr>
    </w:lvl>
    <w:lvl w:ilvl="6" w:tplc="1D8E3D4E" w:tentative="1">
      <w:start w:val="1"/>
      <w:numFmt w:val="decimal"/>
      <w:lvlText w:val="%7."/>
      <w:lvlJc w:val="left"/>
      <w:pPr>
        <w:ind w:left="5040" w:hanging="360"/>
      </w:pPr>
    </w:lvl>
    <w:lvl w:ilvl="7" w:tplc="500E96E0" w:tentative="1">
      <w:start w:val="1"/>
      <w:numFmt w:val="lowerLetter"/>
      <w:lvlText w:val="%8."/>
      <w:lvlJc w:val="left"/>
      <w:pPr>
        <w:ind w:left="5760" w:hanging="360"/>
      </w:pPr>
    </w:lvl>
    <w:lvl w:ilvl="8" w:tplc="A7807080" w:tentative="1">
      <w:start w:val="1"/>
      <w:numFmt w:val="lowerRoman"/>
      <w:lvlText w:val="%9."/>
      <w:lvlJc w:val="right"/>
      <w:pPr>
        <w:ind w:left="6480" w:hanging="180"/>
      </w:pPr>
    </w:lvl>
  </w:abstractNum>
  <w:abstractNum w:abstractNumId="1" w15:restartNumberingAfterBreak="0">
    <w:nsid w:val="11C028AB"/>
    <w:multiLevelType w:val="hybridMultilevel"/>
    <w:tmpl w:val="AB16EEFE"/>
    <w:lvl w:ilvl="0" w:tplc="41387AD4">
      <w:start w:val="1"/>
      <w:numFmt w:val="bullet"/>
      <w:lvlText w:val=""/>
      <w:lvlJc w:val="left"/>
      <w:pPr>
        <w:tabs>
          <w:tab w:val="num" w:pos="720"/>
        </w:tabs>
        <w:ind w:left="720" w:hanging="360"/>
      </w:pPr>
      <w:rPr>
        <w:rFonts w:ascii="Symbol" w:hAnsi="Symbol" w:hint="default"/>
      </w:rPr>
    </w:lvl>
    <w:lvl w:ilvl="1" w:tplc="A07C3A00" w:tentative="1">
      <w:start w:val="1"/>
      <w:numFmt w:val="bullet"/>
      <w:lvlText w:val="o"/>
      <w:lvlJc w:val="left"/>
      <w:pPr>
        <w:ind w:left="1440" w:hanging="360"/>
      </w:pPr>
      <w:rPr>
        <w:rFonts w:ascii="Courier New" w:hAnsi="Courier New" w:cs="Courier New" w:hint="default"/>
      </w:rPr>
    </w:lvl>
    <w:lvl w:ilvl="2" w:tplc="6454810E" w:tentative="1">
      <w:start w:val="1"/>
      <w:numFmt w:val="bullet"/>
      <w:lvlText w:val=""/>
      <w:lvlJc w:val="left"/>
      <w:pPr>
        <w:ind w:left="2160" w:hanging="360"/>
      </w:pPr>
      <w:rPr>
        <w:rFonts w:ascii="Wingdings" w:hAnsi="Wingdings" w:hint="default"/>
      </w:rPr>
    </w:lvl>
    <w:lvl w:ilvl="3" w:tplc="695A2866" w:tentative="1">
      <w:start w:val="1"/>
      <w:numFmt w:val="bullet"/>
      <w:lvlText w:val=""/>
      <w:lvlJc w:val="left"/>
      <w:pPr>
        <w:ind w:left="2880" w:hanging="360"/>
      </w:pPr>
      <w:rPr>
        <w:rFonts w:ascii="Symbol" w:hAnsi="Symbol" w:hint="default"/>
      </w:rPr>
    </w:lvl>
    <w:lvl w:ilvl="4" w:tplc="5C1AC962" w:tentative="1">
      <w:start w:val="1"/>
      <w:numFmt w:val="bullet"/>
      <w:lvlText w:val="o"/>
      <w:lvlJc w:val="left"/>
      <w:pPr>
        <w:ind w:left="3600" w:hanging="360"/>
      </w:pPr>
      <w:rPr>
        <w:rFonts w:ascii="Courier New" w:hAnsi="Courier New" w:cs="Courier New" w:hint="default"/>
      </w:rPr>
    </w:lvl>
    <w:lvl w:ilvl="5" w:tplc="4B58C99C" w:tentative="1">
      <w:start w:val="1"/>
      <w:numFmt w:val="bullet"/>
      <w:lvlText w:val=""/>
      <w:lvlJc w:val="left"/>
      <w:pPr>
        <w:ind w:left="4320" w:hanging="360"/>
      </w:pPr>
      <w:rPr>
        <w:rFonts w:ascii="Wingdings" w:hAnsi="Wingdings" w:hint="default"/>
      </w:rPr>
    </w:lvl>
    <w:lvl w:ilvl="6" w:tplc="DD441BEE" w:tentative="1">
      <w:start w:val="1"/>
      <w:numFmt w:val="bullet"/>
      <w:lvlText w:val=""/>
      <w:lvlJc w:val="left"/>
      <w:pPr>
        <w:ind w:left="5040" w:hanging="360"/>
      </w:pPr>
      <w:rPr>
        <w:rFonts w:ascii="Symbol" w:hAnsi="Symbol" w:hint="default"/>
      </w:rPr>
    </w:lvl>
    <w:lvl w:ilvl="7" w:tplc="D8BC46B2" w:tentative="1">
      <w:start w:val="1"/>
      <w:numFmt w:val="bullet"/>
      <w:lvlText w:val="o"/>
      <w:lvlJc w:val="left"/>
      <w:pPr>
        <w:ind w:left="5760" w:hanging="360"/>
      </w:pPr>
      <w:rPr>
        <w:rFonts w:ascii="Courier New" w:hAnsi="Courier New" w:cs="Courier New" w:hint="default"/>
      </w:rPr>
    </w:lvl>
    <w:lvl w:ilvl="8" w:tplc="AB6274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06"/>
    <w:rsid w:val="00765F06"/>
    <w:rsid w:val="00F9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58BBA8-1646-42DC-8BAB-4F1AF80B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D09D1"/>
    <w:rPr>
      <w:sz w:val="16"/>
      <w:szCs w:val="16"/>
    </w:rPr>
  </w:style>
  <w:style w:type="paragraph" w:styleId="CommentText">
    <w:name w:val="annotation text"/>
    <w:basedOn w:val="Normal"/>
    <w:link w:val="CommentTextChar"/>
    <w:semiHidden/>
    <w:unhideWhenUsed/>
    <w:rsid w:val="008D09D1"/>
    <w:rPr>
      <w:sz w:val="20"/>
      <w:szCs w:val="20"/>
    </w:rPr>
  </w:style>
  <w:style w:type="character" w:customStyle="1" w:styleId="CommentTextChar">
    <w:name w:val="Comment Text Char"/>
    <w:basedOn w:val="DefaultParagraphFont"/>
    <w:link w:val="CommentText"/>
    <w:semiHidden/>
    <w:rsid w:val="008D09D1"/>
  </w:style>
  <w:style w:type="paragraph" w:styleId="CommentSubject">
    <w:name w:val="annotation subject"/>
    <w:basedOn w:val="CommentText"/>
    <w:next w:val="CommentText"/>
    <w:link w:val="CommentSubjectChar"/>
    <w:semiHidden/>
    <w:unhideWhenUsed/>
    <w:rsid w:val="008D09D1"/>
    <w:rPr>
      <w:b/>
      <w:bCs/>
    </w:rPr>
  </w:style>
  <w:style w:type="character" w:customStyle="1" w:styleId="CommentSubjectChar">
    <w:name w:val="Comment Subject Char"/>
    <w:basedOn w:val="CommentTextChar"/>
    <w:link w:val="CommentSubject"/>
    <w:semiHidden/>
    <w:rsid w:val="008D0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2443</Characters>
  <Application>Microsoft Office Word</Application>
  <DocSecurity>4</DocSecurity>
  <Lines>61</Lines>
  <Paragraphs>20</Paragraphs>
  <ScaleCrop>false</ScaleCrop>
  <HeadingPairs>
    <vt:vector size="2" baseType="variant">
      <vt:variant>
        <vt:lpstr>Title</vt:lpstr>
      </vt:variant>
      <vt:variant>
        <vt:i4>1</vt:i4>
      </vt:variant>
    </vt:vector>
  </HeadingPairs>
  <TitlesOfParts>
    <vt:vector size="1" baseType="lpstr">
      <vt:lpstr>BA - SB00956 (Committee Report (Unamended))</vt:lpstr>
    </vt:vector>
  </TitlesOfParts>
  <Company>State of Texas</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30346</dc:subject>
  <dc:creator>State of Texas</dc:creator>
  <dc:description>SB 956 by Bettencourt-(H)Ways &amp; Means</dc:description>
  <cp:lastModifiedBy>Scotty Wimberley</cp:lastModifiedBy>
  <cp:revision>2</cp:revision>
  <cp:lastPrinted>2003-11-26T17:21:00Z</cp:lastPrinted>
  <dcterms:created xsi:type="dcterms:W3CDTF">2019-05-07T15:28:00Z</dcterms:created>
  <dcterms:modified xsi:type="dcterms:W3CDTF">2019-05-07T15:28:00Z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19.119.10</vt:lpwstr>
  </property>
</Properties>
</file>