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16C93" w:rsidTr="00345119">
        <w:tc>
          <w:tcPr>
            <w:tcW w:w="9576" w:type="dxa"/>
            <w:noWrap/>
          </w:tcPr>
          <w:p w:rsidR="008423E4" w:rsidRPr="0022177D" w:rsidRDefault="002A36C7" w:rsidP="00345119">
            <w:pPr>
              <w:pStyle w:val="Heading1"/>
            </w:pPr>
            <w:bookmarkStart w:id="0" w:name="_GoBack"/>
            <w:bookmarkEnd w:id="0"/>
            <w:r w:rsidRPr="00631897">
              <w:t>BILL ANALYSIS</w:t>
            </w:r>
          </w:p>
        </w:tc>
      </w:tr>
    </w:tbl>
    <w:p w:rsidR="008423E4" w:rsidRPr="0022177D" w:rsidRDefault="002A36C7" w:rsidP="008423E4">
      <w:pPr>
        <w:jc w:val="center"/>
      </w:pPr>
    </w:p>
    <w:p w:rsidR="008423E4" w:rsidRPr="00B31F0E" w:rsidRDefault="002A36C7" w:rsidP="008423E4"/>
    <w:p w:rsidR="008423E4" w:rsidRPr="00742794" w:rsidRDefault="002A36C7" w:rsidP="008423E4">
      <w:pPr>
        <w:tabs>
          <w:tab w:val="right" w:pos="9360"/>
        </w:tabs>
      </w:pPr>
    </w:p>
    <w:tbl>
      <w:tblPr>
        <w:tblW w:w="0" w:type="auto"/>
        <w:tblLayout w:type="fixed"/>
        <w:tblLook w:val="01E0" w:firstRow="1" w:lastRow="1" w:firstColumn="1" w:lastColumn="1" w:noHBand="0" w:noVBand="0"/>
      </w:tblPr>
      <w:tblGrid>
        <w:gridCol w:w="9576"/>
      </w:tblGrid>
      <w:tr w:rsidR="00516C93" w:rsidTr="00345119">
        <w:tc>
          <w:tcPr>
            <w:tcW w:w="9576" w:type="dxa"/>
          </w:tcPr>
          <w:p w:rsidR="008423E4" w:rsidRPr="00861995" w:rsidRDefault="002A36C7" w:rsidP="00345119">
            <w:pPr>
              <w:jc w:val="right"/>
            </w:pPr>
            <w:r>
              <w:t>S.B. 962</w:t>
            </w:r>
          </w:p>
        </w:tc>
      </w:tr>
      <w:tr w:rsidR="00516C93" w:rsidTr="00345119">
        <w:tc>
          <w:tcPr>
            <w:tcW w:w="9576" w:type="dxa"/>
          </w:tcPr>
          <w:p w:rsidR="008423E4" w:rsidRPr="00861995" w:rsidRDefault="002A36C7" w:rsidP="00345119">
            <w:pPr>
              <w:jc w:val="right"/>
            </w:pPr>
            <w:r>
              <w:t xml:space="preserve">By: </w:t>
            </w:r>
            <w:r>
              <w:t>Nichols</w:t>
            </w:r>
          </w:p>
        </w:tc>
      </w:tr>
      <w:tr w:rsidR="00516C93" w:rsidTr="00345119">
        <w:tc>
          <w:tcPr>
            <w:tcW w:w="9576" w:type="dxa"/>
          </w:tcPr>
          <w:p w:rsidR="008423E4" w:rsidRPr="00861995" w:rsidRDefault="002A36C7" w:rsidP="00345119">
            <w:pPr>
              <w:jc w:val="right"/>
            </w:pPr>
            <w:r>
              <w:t>Appropriations</w:t>
            </w:r>
          </w:p>
        </w:tc>
      </w:tr>
      <w:tr w:rsidR="00516C93" w:rsidTr="00345119">
        <w:tc>
          <w:tcPr>
            <w:tcW w:w="9576" w:type="dxa"/>
          </w:tcPr>
          <w:p w:rsidR="008423E4" w:rsidRDefault="002A36C7" w:rsidP="00345119">
            <w:pPr>
              <w:jc w:val="right"/>
            </w:pPr>
            <w:r>
              <w:t>Committee Report (Unamended)</w:t>
            </w:r>
          </w:p>
        </w:tc>
      </w:tr>
    </w:tbl>
    <w:p w:rsidR="008423E4" w:rsidRDefault="002A36C7" w:rsidP="008423E4">
      <w:pPr>
        <w:tabs>
          <w:tab w:val="right" w:pos="9360"/>
        </w:tabs>
      </w:pPr>
    </w:p>
    <w:p w:rsidR="008423E4" w:rsidRDefault="002A36C7" w:rsidP="008423E4"/>
    <w:p w:rsidR="008423E4" w:rsidRDefault="002A36C7" w:rsidP="008423E4"/>
    <w:tbl>
      <w:tblPr>
        <w:tblW w:w="0" w:type="auto"/>
        <w:tblCellMar>
          <w:left w:w="115" w:type="dxa"/>
          <w:right w:w="115" w:type="dxa"/>
        </w:tblCellMar>
        <w:tblLook w:val="01E0" w:firstRow="1" w:lastRow="1" w:firstColumn="1" w:lastColumn="1" w:noHBand="0" w:noVBand="0"/>
      </w:tblPr>
      <w:tblGrid>
        <w:gridCol w:w="9360"/>
      </w:tblGrid>
      <w:tr w:rsidR="00516C93" w:rsidTr="00345119">
        <w:tc>
          <w:tcPr>
            <w:tcW w:w="9576" w:type="dxa"/>
          </w:tcPr>
          <w:p w:rsidR="008423E4" w:rsidRPr="00A8133F" w:rsidRDefault="002A36C7" w:rsidP="007F4130">
            <w:pPr>
              <w:rPr>
                <w:b/>
              </w:rPr>
            </w:pPr>
            <w:r w:rsidRPr="009C1E9A">
              <w:rPr>
                <w:b/>
                <w:u w:val="single"/>
              </w:rPr>
              <w:t>BACKGROUND AND PURPOSE</w:t>
            </w:r>
            <w:r>
              <w:rPr>
                <w:b/>
              </w:rPr>
              <w:t xml:space="preserve"> </w:t>
            </w:r>
          </w:p>
          <w:p w:rsidR="008423E4" w:rsidRDefault="002A36C7" w:rsidP="007F4130"/>
          <w:p w:rsidR="008423E4" w:rsidRDefault="002A36C7" w:rsidP="007F4130">
            <w:pPr>
              <w:pStyle w:val="Header"/>
              <w:jc w:val="both"/>
            </w:pPr>
            <w:r>
              <w:t xml:space="preserve">In November 2014, Texas voters approved a ballot measure that authorized a constitutional amendment </w:t>
            </w:r>
            <w:r>
              <w:t xml:space="preserve">providing </w:t>
            </w:r>
            <w:r>
              <w:t xml:space="preserve">for </w:t>
            </w:r>
            <w:r>
              <w:t xml:space="preserve">increased </w:t>
            </w:r>
            <w:r>
              <w:t xml:space="preserve">transportation </w:t>
            </w:r>
            <w:r>
              <w:t>funding</w:t>
            </w:r>
            <w:r>
              <w:t xml:space="preserve"> by transferring</w:t>
            </w:r>
            <w:r>
              <w:t xml:space="preserve"> a portion of </w:t>
            </w:r>
            <w:r>
              <w:t xml:space="preserve">severance tax revenue to </w:t>
            </w:r>
            <w:r>
              <w:t xml:space="preserve">the </w:t>
            </w:r>
            <w:r>
              <w:t>s</w:t>
            </w:r>
            <w:r>
              <w:t xml:space="preserve">tate </w:t>
            </w:r>
            <w:r>
              <w:t>h</w:t>
            </w:r>
            <w:r>
              <w:t xml:space="preserve">ighway </w:t>
            </w:r>
            <w:r>
              <w:t>f</w:t>
            </w:r>
            <w:r>
              <w:t>und</w:t>
            </w:r>
            <w:r>
              <w:t>.</w:t>
            </w:r>
            <w:r>
              <w:t xml:space="preserve"> </w:t>
            </w:r>
            <w:r>
              <w:t xml:space="preserve">As part of this process, </w:t>
            </w:r>
            <w:r>
              <w:t xml:space="preserve">a sufficient minimum balance </w:t>
            </w:r>
            <w:r>
              <w:t xml:space="preserve">for </w:t>
            </w:r>
            <w:r>
              <w:t xml:space="preserve">the </w:t>
            </w:r>
            <w:r>
              <w:t xml:space="preserve">economic stabilization fund (ESF) must be determined </w:t>
            </w:r>
            <w:r>
              <w:t xml:space="preserve">before </w:t>
            </w:r>
            <w:r>
              <w:t xml:space="preserve">a </w:t>
            </w:r>
            <w:r>
              <w:t xml:space="preserve">transfer to the </w:t>
            </w:r>
            <w:r>
              <w:t xml:space="preserve">state highway fund </w:t>
            </w:r>
            <w:r>
              <w:t>may begin t</w:t>
            </w:r>
            <w:r>
              <w:t xml:space="preserve">o occur. </w:t>
            </w:r>
            <w:r>
              <w:t xml:space="preserve">It has been noted that the provisions of state law providing for the determination of that sufficient balance and for the adjustment of the constitutional allocations to the ESF and the state highway fund are set to expire in 2024. </w:t>
            </w:r>
            <w:r>
              <w:t xml:space="preserve">In response to </w:t>
            </w:r>
            <w:r>
              <w:t>calls to ensure that the ESF is protected while the state has adequate transportation funding, S.B. 962 extend</w:t>
            </w:r>
            <w:r>
              <w:t>s</w:t>
            </w:r>
            <w:r>
              <w:t xml:space="preserve"> those provisions </w:t>
            </w:r>
            <w:r>
              <w:t>through</w:t>
            </w:r>
            <w:r>
              <w:t xml:space="preserve"> 2034.</w:t>
            </w:r>
          </w:p>
          <w:p w:rsidR="008423E4" w:rsidRPr="00E26B13" w:rsidRDefault="002A36C7" w:rsidP="007F4130">
            <w:pPr>
              <w:rPr>
                <w:b/>
              </w:rPr>
            </w:pPr>
          </w:p>
        </w:tc>
      </w:tr>
      <w:tr w:rsidR="00516C93" w:rsidTr="00345119">
        <w:tc>
          <w:tcPr>
            <w:tcW w:w="9576" w:type="dxa"/>
          </w:tcPr>
          <w:p w:rsidR="0017725B" w:rsidRDefault="002A36C7" w:rsidP="007F4130">
            <w:pPr>
              <w:rPr>
                <w:b/>
                <w:u w:val="single"/>
              </w:rPr>
            </w:pPr>
            <w:r>
              <w:rPr>
                <w:b/>
                <w:u w:val="single"/>
              </w:rPr>
              <w:t>CRIMINAL JUSTICE IMPACT</w:t>
            </w:r>
          </w:p>
          <w:p w:rsidR="0017725B" w:rsidRDefault="002A36C7" w:rsidP="007F4130">
            <w:pPr>
              <w:rPr>
                <w:b/>
                <w:u w:val="single"/>
              </w:rPr>
            </w:pPr>
          </w:p>
          <w:p w:rsidR="003520A0" w:rsidRPr="003520A0" w:rsidRDefault="002A36C7" w:rsidP="007F4130">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2A36C7" w:rsidP="007F4130">
            <w:pPr>
              <w:rPr>
                <w:b/>
                <w:u w:val="single"/>
              </w:rPr>
            </w:pPr>
          </w:p>
        </w:tc>
      </w:tr>
      <w:tr w:rsidR="00516C93" w:rsidTr="00345119">
        <w:tc>
          <w:tcPr>
            <w:tcW w:w="9576" w:type="dxa"/>
          </w:tcPr>
          <w:p w:rsidR="008423E4" w:rsidRPr="00A8133F" w:rsidRDefault="002A36C7" w:rsidP="007F4130">
            <w:pPr>
              <w:rPr>
                <w:b/>
              </w:rPr>
            </w:pPr>
            <w:r w:rsidRPr="009C1E9A">
              <w:rPr>
                <w:b/>
                <w:u w:val="single"/>
              </w:rPr>
              <w:t>RULEMAKING AUTHORITY</w:t>
            </w:r>
            <w:r>
              <w:rPr>
                <w:b/>
              </w:rPr>
              <w:t xml:space="preserve"> </w:t>
            </w:r>
          </w:p>
          <w:p w:rsidR="008423E4" w:rsidRDefault="002A36C7" w:rsidP="007F4130"/>
          <w:p w:rsidR="003520A0" w:rsidRDefault="002A36C7" w:rsidP="007F4130">
            <w:pPr>
              <w:pStyle w:val="Header"/>
              <w:tabs>
                <w:tab w:val="clear" w:pos="4320"/>
                <w:tab w:val="clear" w:pos="8640"/>
              </w:tabs>
              <w:jc w:val="both"/>
            </w:pPr>
            <w:r>
              <w:t>It is the committee's opinion that this b</w:t>
            </w:r>
            <w:r>
              <w:t>ill does not expressly grant any additional rulemaking authority to a state officer, department, agency, or institution.</w:t>
            </w:r>
          </w:p>
          <w:p w:rsidR="008423E4" w:rsidRPr="00E21FDC" w:rsidRDefault="002A36C7" w:rsidP="007F4130">
            <w:pPr>
              <w:rPr>
                <w:b/>
              </w:rPr>
            </w:pPr>
          </w:p>
        </w:tc>
      </w:tr>
      <w:tr w:rsidR="00516C93" w:rsidTr="00345119">
        <w:tc>
          <w:tcPr>
            <w:tcW w:w="9576" w:type="dxa"/>
          </w:tcPr>
          <w:p w:rsidR="008423E4" w:rsidRPr="00A8133F" w:rsidRDefault="002A36C7" w:rsidP="007F4130">
            <w:pPr>
              <w:rPr>
                <w:b/>
              </w:rPr>
            </w:pPr>
            <w:r w:rsidRPr="009C1E9A">
              <w:rPr>
                <w:b/>
                <w:u w:val="single"/>
              </w:rPr>
              <w:t>ANALYSIS</w:t>
            </w:r>
            <w:r>
              <w:rPr>
                <w:b/>
              </w:rPr>
              <w:t xml:space="preserve"> </w:t>
            </w:r>
          </w:p>
          <w:p w:rsidR="008423E4" w:rsidRDefault="002A36C7" w:rsidP="007F4130"/>
          <w:p w:rsidR="00B10BE7" w:rsidRDefault="002A36C7" w:rsidP="007F4130">
            <w:pPr>
              <w:pStyle w:val="Header"/>
              <w:tabs>
                <w:tab w:val="clear" w:pos="4320"/>
                <w:tab w:val="clear" w:pos="8640"/>
              </w:tabs>
              <w:jc w:val="both"/>
            </w:pPr>
            <w:r>
              <w:t xml:space="preserve">S.B. 962 amends the Government Code to </w:t>
            </w:r>
            <w:r>
              <w:t>postpone</w:t>
            </w:r>
            <w:r>
              <w:t xml:space="preserve"> from December 31, 2024 to December 31, 2034, the expiration </w:t>
            </w:r>
            <w:r>
              <w:t xml:space="preserve">of </w:t>
            </w:r>
            <w:r>
              <w:t xml:space="preserve">the </w:t>
            </w:r>
            <w:r>
              <w:t>following:</w:t>
            </w:r>
          </w:p>
          <w:p w:rsidR="00B10BE7" w:rsidRDefault="002A36C7" w:rsidP="007F4130">
            <w:pPr>
              <w:pStyle w:val="Header"/>
              <w:numPr>
                <w:ilvl w:val="0"/>
                <w:numId w:val="1"/>
              </w:numPr>
              <w:tabs>
                <w:tab w:val="clear" w:pos="4320"/>
                <w:tab w:val="clear" w:pos="8640"/>
              </w:tabs>
              <w:spacing w:before="120" w:after="120"/>
              <w:jc w:val="both"/>
            </w:pPr>
            <w:r>
              <w:t>statutory provisions providing for the biennial determination and approval of a sufficient balance of the economic stabilization fund</w:t>
            </w:r>
            <w:r>
              <w:t xml:space="preserve"> </w:t>
            </w:r>
            <w:r>
              <w:t xml:space="preserve">(ESF) </w:t>
            </w:r>
            <w:r>
              <w:t>for purpose</w:t>
            </w:r>
            <w:r>
              <w:t>s</w:t>
            </w:r>
            <w:r>
              <w:t xml:space="preserve"> of the constitutional allocation of general revenue to the ESF and the state highway fund; </w:t>
            </w:r>
            <w:r>
              <w:t>a</w:t>
            </w:r>
            <w:r>
              <w:t xml:space="preserve">nd </w:t>
            </w:r>
          </w:p>
          <w:p w:rsidR="00B10BE7" w:rsidRDefault="002A36C7" w:rsidP="007F4130">
            <w:pPr>
              <w:pStyle w:val="Header"/>
              <w:numPr>
                <w:ilvl w:val="0"/>
                <w:numId w:val="1"/>
              </w:numPr>
              <w:tabs>
                <w:tab w:val="clear" w:pos="4320"/>
                <w:tab w:val="clear" w:pos="8640"/>
              </w:tabs>
              <w:spacing w:before="120" w:after="120"/>
              <w:jc w:val="both"/>
            </w:pPr>
            <w:r>
              <w:t xml:space="preserve">certain </w:t>
            </w:r>
            <w:r>
              <w:t xml:space="preserve">statutory provisions providing for the </w:t>
            </w:r>
            <w:r>
              <w:t xml:space="preserve">adjustment of </w:t>
            </w:r>
            <w:r>
              <w:t xml:space="preserve">those </w:t>
            </w:r>
            <w:r>
              <w:t xml:space="preserve">constitutional allocations to </w:t>
            </w:r>
            <w:r>
              <w:t>preserv</w:t>
            </w:r>
            <w:r>
              <w:t>e</w:t>
            </w:r>
            <w:r>
              <w:t xml:space="preserve"> </w:t>
            </w:r>
            <w:r>
              <w:t xml:space="preserve">a </w:t>
            </w:r>
            <w:r>
              <w:t xml:space="preserve">sufficient </w:t>
            </w:r>
            <w:r>
              <w:t xml:space="preserve">ESF </w:t>
            </w:r>
            <w:r>
              <w:t>balance</w:t>
            </w:r>
            <w:r>
              <w:t xml:space="preserve">. </w:t>
            </w:r>
          </w:p>
          <w:p w:rsidR="008423E4" w:rsidRDefault="002A36C7" w:rsidP="007F4130">
            <w:pPr>
              <w:pStyle w:val="Header"/>
              <w:tabs>
                <w:tab w:val="clear" w:pos="4320"/>
                <w:tab w:val="clear" w:pos="8640"/>
              </w:tabs>
              <w:jc w:val="both"/>
            </w:pPr>
            <w:r>
              <w:t xml:space="preserve">The bill </w:t>
            </w:r>
            <w:r>
              <w:t>changes from the 2026 state fiscal year to the 2036 state fiscal year the fiscal year beginning with which</w:t>
            </w:r>
            <w:r>
              <w:t xml:space="preserve"> </w:t>
            </w:r>
            <w:r>
              <w:t>the</w:t>
            </w:r>
            <w:r>
              <w:t xml:space="preserve"> comptroller of public accounts</w:t>
            </w:r>
            <w:r>
              <w:t xml:space="preserve"> is required</w:t>
            </w:r>
            <w:r>
              <w:t xml:space="preserve"> to adjust certain constitutionally provided </w:t>
            </w:r>
            <w:r>
              <w:t xml:space="preserve">allocations to the ESF and the state highway fund so that the total of certain amounts received by the state from oil and </w:t>
            </w:r>
            <w:r w:rsidRPr="009F6CCA">
              <w:t>gas production taxes</w:t>
            </w:r>
            <w:r>
              <w:t xml:space="preserve">, </w:t>
            </w:r>
            <w:r>
              <w:t>subject to the</w:t>
            </w:r>
            <w:r>
              <w:t xml:space="preserve"> limit</w:t>
            </w:r>
            <w:r>
              <w:t xml:space="preserve"> on </w:t>
            </w:r>
            <w:r>
              <w:t>the</w:t>
            </w:r>
            <w:r>
              <w:t xml:space="preserve"> total</w:t>
            </w:r>
            <w:r>
              <w:t xml:space="preserve"> ESF</w:t>
            </w:r>
            <w:r>
              <w:t xml:space="preserve"> balance for the biennium</w:t>
            </w:r>
            <w:r>
              <w:t>.</w:t>
            </w:r>
          </w:p>
          <w:p w:rsidR="008423E4" w:rsidRPr="00835628" w:rsidRDefault="002A36C7" w:rsidP="007F4130">
            <w:pPr>
              <w:rPr>
                <w:b/>
              </w:rPr>
            </w:pPr>
          </w:p>
        </w:tc>
      </w:tr>
      <w:tr w:rsidR="00516C93" w:rsidTr="00345119">
        <w:tc>
          <w:tcPr>
            <w:tcW w:w="9576" w:type="dxa"/>
          </w:tcPr>
          <w:p w:rsidR="008423E4" w:rsidRPr="00A8133F" w:rsidRDefault="002A36C7" w:rsidP="007F4130">
            <w:pPr>
              <w:rPr>
                <w:b/>
              </w:rPr>
            </w:pPr>
            <w:r w:rsidRPr="009C1E9A">
              <w:rPr>
                <w:b/>
                <w:u w:val="single"/>
              </w:rPr>
              <w:t>EFFECTIVE DATE</w:t>
            </w:r>
            <w:r>
              <w:rPr>
                <w:b/>
              </w:rPr>
              <w:t xml:space="preserve"> </w:t>
            </w:r>
          </w:p>
          <w:p w:rsidR="008423E4" w:rsidRDefault="002A36C7" w:rsidP="007F4130"/>
          <w:p w:rsidR="008423E4" w:rsidRPr="003624F2" w:rsidRDefault="002A36C7" w:rsidP="007F4130">
            <w:pPr>
              <w:pStyle w:val="Header"/>
              <w:tabs>
                <w:tab w:val="clear" w:pos="4320"/>
                <w:tab w:val="clear" w:pos="8640"/>
              </w:tabs>
              <w:jc w:val="both"/>
            </w:pPr>
            <w:r>
              <w:t>September 1, 2019.</w:t>
            </w:r>
          </w:p>
          <w:p w:rsidR="008423E4" w:rsidRPr="00233FDB" w:rsidRDefault="002A36C7" w:rsidP="007F4130">
            <w:pPr>
              <w:rPr>
                <w:b/>
              </w:rPr>
            </w:pPr>
          </w:p>
        </w:tc>
      </w:tr>
    </w:tbl>
    <w:p w:rsidR="008423E4" w:rsidRPr="00BE0E75" w:rsidRDefault="002A36C7" w:rsidP="008423E4">
      <w:pPr>
        <w:spacing w:line="480" w:lineRule="auto"/>
        <w:jc w:val="both"/>
        <w:rPr>
          <w:rFonts w:ascii="Arial" w:hAnsi="Arial"/>
          <w:sz w:val="16"/>
          <w:szCs w:val="16"/>
        </w:rPr>
      </w:pPr>
    </w:p>
    <w:p w:rsidR="004108C3" w:rsidRPr="008423E4" w:rsidRDefault="002A36C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36C7">
      <w:r>
        <w:separator/>
      </w:r>
    </w:p>
  </w:endnote>
  <w:endnote w:type="continuationSeparator" w:id="0">
    <w:p w:rsidR="00000000" w:rsidRDefault="002A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75" w:rsidRDefault="002A3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16C93" w:rsidTr="009C1E9A">
      <w:trPr>
        <w:cantSplit/>
      </w:trPr>
      <w:tc>
        <w:tcPr>
          <w:tcW w:w="0" w:type="pct"/>
        </w:tcPr>
        <w:p w:rsidR="00137D90" w:rsidRDefault="002A36C7" w:rsidP="009C1E9A">
          <w:pPr>
            <w:pStyle w:val="Footer"/>
            <w:tabs>
              <w:tab w:val="clear" w:pos="8640"/>
              <w:tab w:val="right" w:pos="9360"/>
            </w:tabs>
          </w:pPr>
        </w:p>
      </w:tc>
      <w:tc>
        <w:tcPr>
          <w:tcW w:w="2395" w:type="pct"/>
        </w:tcPr>
        <w:p w:rsidR="00137D90" w:rsidRDefault="002A36C7" w:rsidP="009C1E9A">
          <w:pPr>
            <w:pStyle w:val="Footer"/>
            <w:tabs>
              <w:tab w:val="clear" w:pos="8640"/>
              <w:tab w:val="right" w:pos="9360"/>
            </w:tabs>
          </w:pPr>
        </w:p>
        <w:p w:rsidR="001A4310" w:rsidRDefault="002A36C7" w:rsidP="009C1E9A">
          <w:pPr>
            <w:pStyle w:val="Footer"/>
            <w:tabs>
              <w:tab w:val="clear" w:pos="8640"/>
              <w:tab w:val="right" w:pos="9360"/>
            </w:tabs>
          </w:pPr>
        </w:p>
        <w:p w:rsidR="00137D90" w:rsidRDefault="002A36C7" w:rsidP="009C1E9A">
          <w:pPr>
            <w:pStyle w:val="Footer"/>
            <w:tabs>
              <w:tab w:val="clear" w:pos="8640"/>
              <w:tab w:val="right" w:pos="9360"/>
            </w:tabs>
          </w:pPr>
        </w:p>
      </w:tc>
      <w:tc>
        <w:tcPr>
          <w:tcW w:w="2453" w:type="pct"/>
        </w:tcPr>
        <w:p w:rsidR="00137D90" w:rsidRDefault="002A36C7" w:rsidP="009C1E9A">
          <w:pPr>
            <w:pStyle w:val="Footer"/>
            <w:tabs>
              <w:tab w:val="clear" w:pos="8640"/>
              <w:tab w:val="right" w:pos="9360"/>
            </w:tabs>
            <w:jc w:val="right"/>
          </w:pPr>
        </w:p>
      </w:tc>
    </w:tr>
    <w:tr w:rsidR="00516C93" w:rsidTr="009C1E9A">
      <w:trPr>
        <w:cantSplit/>
      </w:trPr>
      <w:tc>
        <w:tcPr>
          <w:tcW w:w="0" w:type="pct"/>
        </w:tcPr>
        <w:p w:rsidR="00EC379B" w:rsidRDefault="002A36C7" w:rsidP="009C1E9A">
          <w:pPr>
            <w:pStyle w:val="Footer"/>
            <w:tabs>
              <w:tab w:val="clear" w:pos="8640"/>
              <w:tab w:val="right" w:pos="9360"/>
            </w:tabs>
          </w:pPr>
        </w:p>
      </w:tc>
      <w:tc>
        <w:tcPr>
          <w:tcW w:w="2395" w:type="pct"/>
        </w:tcPr>
        <w:p w:rsidR="00EC379B" w:rsidRPr="009C1E9A" w:rsidRDefault="002A36C7" w:rsidP="009C1E9A">
          <w:pPr>
            <w:pStyle w:val="Footer"/>
            <w:tabs>
              <w:tab w:val="clear" w:pos="8640"/>
              <w:tab w:val="right" w:pos="9360"/>
            </w:tabs>
            <w:rPr>
              <w:rFonts w:ascii="Shruti" w:hAnsi="Shruti"/>
              <w:sz w:val="22"/>
            </w:rPr>
          </w:pPr>
          <w:r>
            <w:rPr>
              <w:rFonts w:ascii="Shruti" w:hAnsi="Shruti"/>
              <w:sz w:val="22"/>
            </w:rPr>
            <w:t>86R 31318</w:t>
          </w:r>
        </w:p>
      </w:tc>
      <w:tc>
        <w:tcPr>
          <w:tcW w:w="2453" w:type="pct"/>
        </w:tcPr>
        <w:p w:rsidR="00EC379B" w:rsidRDefault="002A36C7" w:rsidP="009C1E9A">
          <w:pPr>
            <w:pStyle w:val="Footer"/>
            <w:tabs>
              <w:tab w:val="clear" w:pos="8640"/>
              <w:tab w:val="right" w:pos="9360"/>
            </w:tabs>
            <w:jc w:val="right"/>
          </w:pPr>
          <w:r>
            <w:fldChar w:fldCharType="begin"/>
          </w:r>
          <w:r>
            <w:instrText xml:space="preserve"> DOCPROPERTY  OTID  \* MERGEFORMAT </w:instrText>
          </w:r>
          <w:r>
            <w:fldChar w:fldCharType="separate"/>
          </w:r>
          <w:r>
            <w:t>19.122.367</w:t>
          </w:r>
          <w:r>
            <w:fldChar w:fldCharType="end"/>
          </w:r>
        </w:p>
      </w:tc>
    </w:tr>
    <w:tr w:rsidR="00516C93" w:rsidTr="009C1E9A">
      <w:trPr>
        <w:cantSplit/>
      </w:trPr>
      <w:tc>
        <w:tcPr>
          <w:tcW w:w="0" w:type="pct"/>
        </w:tcPr>
        <w:p w:rsidR="00EC379B" w:rsidRDefault="002A36C7" w:rsidP="009C1E9A">
          <w:pPr>
            <w:pStyle w:val="Footer"/>
            <w:tabs>
              <w:tab w:val="clear" w:pos="4320"/>
              <w:tab w:val="clear" w:pos="8640"/>
              <w:tab w:val="left" w:pos="2865"/>
            </w:tabs>
          </w:pPr>
        </w:p>
      </w:tc>
      <w:tc>
        <w:tcPr>
          <w:tcW w:w="2395" w:type="pct"/>
        </w:tcPr>
        <w:p w:rsidR="00EC379B" w:rsidRPr="009C1E9A" w:rsidRDefault="002A36C7" w:rsidP="009C1E9A">
          <w:pPr>
            <w:pStyle w:val="Footer"/>
            <w:tabs>
              <w:tab w:val="clear" w:pos="4320"/>
              <w:tab w:val="clear" w:pos="8640"/>
              <w:tab w:val="left" w:pos="2865"/>
            </w:tabs>
            <w:rPr>
              <w:rFonts w:ascii="Shruti" w:hAnsi="Shruti"/>
              <w:sz w:val="22"/>
            </w:rPr>
          </w:pPr>
        </w:p>
      </w:tc>
      <w:tc>
        <w:tcPr>
          <w:tcW w:w="2453" w:type="pct"/>
        </w:tcPr>
        <w:p w:rsidR="00EC379B" w:rsidRDefault="002A36C7" w:rsidP="006D504F">
          <w:pPr>
            <w:pStyle w:val="Footer"/>
            <w:rPr>
              <w:rStyle w:val="PageNumber"/>
            </w:rPr>
          </w:pPr>
        </w:p>
        <w:p w:rsidR="00EC379B" w:rsidRDefault="002A36C7" w:rsidP="009C1E9A">
          <w:pPr>
            <w:pStyle w:val="Footer"/>
            <w:tabs>
              <w:tab w:val="clear" w:pos="8640"/>
              <w:tab w:val="right" w:pos="9360"/>
            </w:tabs>
            <w:jc w:val="right"/>
          </w:pPr>
        </w:p>
      </w:tc>
    </w:tr>
    <w:tr w:rsidR="00516C93" w:rsidTr="009C1E9A">
      <w:trPr>
        <w:cantSplit/>
        <w:trHeight w:val="323"/>
      </w:trPr>
      <w:tc>
        <w:tcPr>
          <w:tcW w:w="0" w:type="pct"/>
          <w:gridSpan w:val="3"/>
        </w:tcPr>
        <w:p w:rsidR="00EC379B" w:rsidRDefault="002A36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A36C7" w:rsidP="009C1E9A">
          <w:pPr>
            <w:pStyle w:val="Footer"/>
            <w:tabs>
              <w:tab w:val="clear" w:pos="8640"/>
              <w:tab w:val="right" w:pos="9360"/>
            </w:tabs>
            <w:jc w:val="center"/>
          </w:pPr>
        </w:p>
      </w:tc>
    </w:tr>
  </w:tbl>
  <w:p w:rsidR="00EC379B" w:rsidRPr="00FF6F72" w:rsidRDefault="002A36C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75" w:rsidRDefault="002A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36C7">
      <w:r>
        <w:separator/>
      </w:r>
    </w:p>
  </w:footnote>
  <w:footnote w:type="continuationSeparator" w:id="0">
    <w:p w:rsidR="00000000" w:rsidRDefault="002A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75" w:rsidRDefault="002A3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75" w:rsidRDefault="002A3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75" w:rsidRDefault="002A3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C021D"/>
    <w:multiLevelType w:val="hybridMultilevel"/>
    <w:tmpl w:val="8C38BB26"/>
    <w:lvl w:ilvl="0" w:tplc="F1667BF0">
      <w:start w:val="1"/>
      <w:numFmt w:val="bullet"/>
      <w:lvlText w:val=""/>
      <w:lvlJc w:val="left"/>
      <w:pPr>
        <w:tabs>
          <w:tab w:val="num" w:pos="720"/>
        </w:tabs>
        <w:ind w:left="720" w:hanging="360"/>
      </w:pPr>
      <w:rPr>
        <w:rFonts w:ascii="Symbol" w:hAnsi="Symbol" w:hint="default"/>
      </w:rPr>
    </w:lvl>
    <w:lvl w:ilvl="1" w:tplc="15584392" w:tentative="1">
      <w:start w:val="1"/>
      <w:numFmt w:val="bullet"/>
      <w:lvlText w:val="o"/>
      <w:lvlJc w:val="left"/>
      <w:pPr>
        <w:ind w:left="1440" w:hanging="360"/>
      </w:pPr>
      <w:rPr>
        <w:rFonts w:ascii="Courier New" w:hAnsi="Courier New" w:cs="Courier New" w:hint="default"/>
      </w:rPr>
    </w:lvl>
    <w:lvl w:ilvl="2" w:tplc="AC20DC84" w:tentative="1">
      <w:start w:val="1"/>
      <w:numFmt w:val="bullet"/>
      <w:lvlText w:val=""/>
      <w:lvlJc w:val="left"/>
      <w:pPr>
        <w:ind w:left="2160" w:hanging="360"/>
      </w:pPr>
      <w:rPr>
        <w:rFonts w:ascii="Wingdings" w:hAnsi="Wingdings" w:hint="default"/>
      </w:rPr>
    </w:lvl>
    <w:lvl w:ilvl="3" w:tplc="6B367FAA" w:tentative="1">
      <w:start w:val="1"/>
      <w:numFmt w:val="bullet"/>
      <w:lvlText w:val=""/>
      <w:lvlJc w:val="left"/>
      <w:pPr>
        <w:ind w:left="2880" w:hanging="360"/>
      </w:pPr>
      <w:rPr>
        <w:rFonts w:ascii="Symbol" w:hAnsi="Symbol" w:hint="default"/>
      </w:rPr>
    </w:lvl>
    <w:lvl w:ilvl="4" w:tplc="0054DBC8" w:tentative="1">
      <w:start w:val="1"/>
      <w:numFmt w:val="bullet"/>
      <w:lvlText w:val="o"/>
      <w:lvlJc w:val="left"/>
      <w:pPr>
        <w:ind w:left="3600" w:hanging="360"/>
      </w:pPr>
      <w:rPr>
        <w:rFonts w:ascii="Courier New" w:hAnsi="Courier New" w:cs="Courier New" w:hint="default"/>
      </w:rPr>
    </w:lvl>
    <w:lvl w:ilvl="5" w:tplc="127212F4" w:tentative="1">
      <w:start w:val="1"/>
      <w:numFmt w:val="bullet"/>
      <w:lvlText w:val=""/>
      <w:lvlJc w:val="left"/>
      <w:pPr>
        <w:ind w:left="4320" w:hanging="360"/>
      </w:pPr>
      <w:rPr>
        <w:rFonts w:ascii="Wingdings" w:hAnsi="Wingdings" w:hint="default"/>
      </w:rPr>
    </w:lvl>
    <w:lvl w:ilvl="6" w:tplc="6D56EB4A" w:tentative="1">
      <w:start w:val="1"/>
      <w:numFmt w:val="bullet"/>
      <w:lvlText w:val=""/>
      <w:lvlJc w:val="left"/>
      <w:pPr>
        <w:ind w:left="5040" w:hanging="360"/>
      </w:pPr>
      <w:rPr>
        <w:rFonts w:ascii="Symbol" w:hAnsi="Symbol" w:hint="default"/>
      </w:rPr>
    </w:lvl>
    <w:lvl w:ilvl="7" w:tplc="3724B8E6" w:tentative="1">
      <w:start w:val="1"/>
      <w:numFmt w:val="bullet"/>
      <w:lvlText w:val="o"/>
      <w:lvlJc w:val="left"/>
      <w:pPr>
        <w:ind w:left="5760" w:hanging="360"/>
      </w:pPr>
      <w:rPr>
        <w:rFonts w:ascii="Courier New" w:hAnsi="Courier New" w:cs="Courier New" w:hint="default"/>
      </w:rPr>
    </w:lvl>
    <w:lvl w:ilvl="8" w:tplc="C15A3E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93"/>
    <w:rsid w:val="002A36C7"/>
    <w:rsid w:val="0051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5088D-2A13-41EF-9CEF-F196C150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76E1"/>
    <w:rPr>
      <w:sz w:val="16"/>
      <w:szCs w:val="16"/>
    </w:rPr>
  </w:style>
  <w:style w:type="paragraph" w:styleId="CommentText">
    <w:name w:val="annotation text"/>
    <w:basedOn w:val="Normal"/>
    <w:link w:val="CommentTextChar"/>
    <w:semiHidden/>
    <w:unhideWhenUsed/>
    <w:rsid w:val="00C276E1"/>
    <w:rPr>
      <w:sz w:val="20"/>
      <w:szCs w:val="20"/>
    </w:rPr>
  </w:style>
  <w:style w:type="character" w:customStyle="1" w:styleId="CommentTextChar">
    <w:name w:val="Comment Text Char"/>
    <w:basedOn w:val="DefaultParagraphFont"/>
    <w:link w:val="CommentText"/>
    <w:semiHidden/>
    <w:rsid w:val="00C276E1"/>
  </w:style>
  <w:style w:type="paragraph" w:styleId="CommentSubject">
    <w:name w:val="annotation subject"/>
    <w:basedOn w:val="CommentText"/>
    <w:next w:val="CommentText"/>
    <w:link w:val="CommentSubjectChar"/>
    <w:semiHidden/>
    <w:unhideWhenUsed/>
    <w:rsid w:val="00C276E1"/>
    <w:rPr>
      <w:b/>
      <w:bCs/>
    </w:rPr>
  </w:style>
  <w:style w:type="character" w:customStyle="1" w:styleId="CommentSubjectChar">
    <w:name w:val="Comment Subject Char"/>
    <w:basedOn w:val="CommentTextChar"/>
    <w:link w:val="CommentSubject"/>
    <w:semiHidden/>
    <w:rsid w:val="00C276E1"/>
    <w:rPr>
      <w:b/>
      <w:bCs/>
    </w:rPr>
  </w:style>
  <w:style w:type="character" w:styleId="Hyperlink">
    <w:name w:val="Hyperlink"/>
    <w:basedOn w:val="DefaultParagraphFont"/>
    <w:unhideWhenUsed/>
    <w:rsid w:val="00C27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1979</Characters>
  <Application>Microsoft Office Word</Application>
  <DocSecurity>4</DocSecurity>
  <Lines>54</Lines>
  <Paragraphs>18</Paragraphs>
  <ScaleCrop>false</ScaleCrop>
  <HeadingPairs>
    <vt:vector size="2" baseType="variant">
      <vt:variant>
        <vt:lpstr>Title</vt:lpstr>
      </vt:variant>
      <vt:variant>
        <vt:i4>1</vt:i4>
      </vt:variant>
    </vt:vector>
  </HeadingPairs>
  <TitlesOfParts>
    <vt:vector size="1" baseType="lpstr">
      <vt:lpstr>BA - SB00962 (Committee Report (Unamended))</vt:lpstr>
    </vt:vector>
  </TitlesOfParts>
  <Company>State of Texas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31318</dc:subject>
  <dc:creator>State of Texas</dc:creator>
  <dc:description>SB 962 by Nichols-(H)Appropriations</dc:description>
  <cp:lastModifiedBy>Erin Conway</cp:lastModifiedBy>
  <cp:revision>2</cp:revision>
  <cp:lastPrinted>2003-11-26T17:21:00Z</cp:lastPrinted>
  <dcterms:created xsi:type="dcterms:W3CDTF">2019-05-09T22:05:00Z</dcterms:created>
  <dcterms:modified xsi:type="dcterms:W3CDTF">2019-05-09T22:05:00Z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19.122.367</vt:lpwstr>
  </property>
</Properties>
</file>