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71E7E" w:rsidTr="00345119">
        <w:tc>
          <w:tcPr>
            <w:tcW w:w="9576" w:type="dxa"/>
            <w:noWrap/>
          </w:tcPr>
          <w:p w:rsidR="008423E4" w:rsidRPr="0022177D" w:rsidRDefault="00F827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827BD" w:rsidP="008423E4">
      <w:pPr>
        <w:jc w:val="center"/>
      </w:pPr>
    </w:p>
    <w:p w:rsidR="008423E4" w:rsidRPr="00B31F0E" w:rsidRDefault="00F827BD" w:rsidP="008423E4"/>
    <w:p w:rsidR="008423E4" w:rsidRPr="00742794" w:rsidRDefault="00F827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1E7E" w:rsidTr="00345119">
        <w:tc>
          <w:tcPr>
            <w:tcW w:w="9576" w:type="dxa"/>
          </w:tcPr>
          <w:p w:rsidR="008423E4" w:rsidRPr="00861995" w:rsidRDefault="00F827BD" w:rsidP="00345119">
            <w:pPr>
              <w:jc w:val="right"/>
            </w:pPr>
            <w:r>
              <w:t>S.B. 1000</w:t>
            </w:r>
          </w:p>
        </w:tc>
      </w:tr>
      <w:tr w:rsidR="00D71E7E" w:rsidTr="00345119">
        <w:tc>
          <w:tcPr>
            <w:tcW w:w="9576" w:type="dxa"/>
          </w:tcPr>
          <w:p w:rsidR="008423E4" w:rsidRPr="00861995" w:rsidRDefault="00F827BD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D71E7E" w:rsidTr="00345119">
        <w:tc>
          <w:tcPr>
            <w:tcW w:w="9576" w:type="dxa"/>
          </w:tcPr>
          <w:p w:rsidR="008423E4" w:rsidRPr="00861995" w:rsidRDefault="00F827BD" w:rsidP="00345119">
            <w:pPr>
              <w:jc w:val="right"/>
            </w:pPr>
            <w:r>
              <w:t>Urban Affairs</w:t>
            </w:r>
          </w:p>
        </w:tc>
      </w:tr>
      <w:tr w:rsidR="00D71E7E" w:rsidTr="00345119">
        <w:tc>
          <w:tcPr>
            <w:tcW w:w="9576" w:type="dxa"/>
          </w:tcPr>
          <w:p w:rsidR="008423E4" w:rsidRDefault="00F827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827BD" w:rsidP="008423E4">
      <w:pPr>
        <w:tabs>
          <w:tab w:val="right" w:pos="9360"/>
        </w:tabs>
      </w:pPr>
    </w:p>
    <w:p w:rsidR="008423E4" w:rsidRDefault="00F827BD" w:rsidP="008423E4"/>
    <w:p w:rsidR="008423E4" w:rsidRDefault="00F827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71E7E" w:rsidTr="00345119">
        <w:tc>
          <w:tcPr>
            <w:tcW w:w="9576" w:type="dxa"/>
          </w:tcPr>
          <w:p w:rsidR="008423E4" w:rsidRPr="00A8133F" w:rsidRDefault="00F827BD" w:rsidP="009E15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C00BC" w:rsidRDefault="00F827BD" w:rsidP="009E15BA">
            <w:pPr>
              <w:rPr>
                <w:sz w:val="22"/>
                <w:szCs w:val="22"/>
              </w:rPr>
            </w:pPr>
          </w:p>
          <w:p w:rsidR="008423E4" w:rsidRDefault="00F827BD" w:rsidP="009E15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legislation is needed to ensure that religious organizations are able to use their property for housing the </w:t>
            </w:r>
            <w:r>
              <w:t>homeless</w:t>
            </w:r>
            <w:r>
              <w:t>,</w:t>
            </w:r>
            <w:r>
              <w:t xml:space="preserve"> if they desire to do so as part of their overall mission, in order to bring state law in line with federal</w:t>
            </w:r>
            <w:r>
              <w:t xml:space="preserve"> law</w:t>
            </w:r>
            <w:r>
              <w:t>.</w:t>
            </w:r>
            <w:r>
              <w:t xml:space="preserve"> </w:t>
            </w:r>
            <w:r>
              <w:t xml:space="preserve">S.B. 1000 </w:t>
            </w:r>
            <w:r>
              <w:t>provides this legislation by setting out provisions</w:t>
            </w:r>
            <w:r>
              <w:t xml:space="preserve"> relating to the municipal regulation of housing for homeless individuals</w:t>
            </w:r>
            <w:r>
              <w:t xml:space="preserve"> provided by a religious organization.</w:t>
            </w:r>
          </w:p>
          <w:p w:rsidR="008423E4" w:rsidRPr="00E26B13" w:rsidRDefault="00F827BD" w:rsidP="009E15BA">
            <w:pPr>
              <w:rPr>
                <w:b/>
              </w:rPr>
            </w:pPr>
          </w:p>
        </w:tc>
      </w:tr>
      <w:tr w:rsidR="00D71E7E" w:rsidTr="00345119">
        <w:tc>
          <w:tcPr>
            <w:tcW w:w="9576" w:type="dxa"/>
          </w:tcPr>
          <w:p w:rsidR="0017725B" w:rsidRDefault="00F827BD" w:rsidP="009E15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7C00BC" w:rsidRDefault="00F827BD" w:rsidP="009E15BA">
            <w:pPr>
              <w:rPr>
                <w:b/>
                <w:sz w:val="22"/>
                <w:szCs w:val="22"/>
                <w:u w:val="single"/>
              </w:rPr>
            </w:pPr>
          </w:p>
          <w:p w:rsidR="00857FBC" w:rsidRPr="00857FBC" w:rsidRDefault="00F827BD" w:rsidP="009E15B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:rsidR="0017725B" w:rsidRPr="0017725B" w:rsidRDefault="00F827BD" w:rsidP="009E15BA">
            <w:pPr>
              <w:rPr>
                <w:b/>
                <w:u w:val="single"/>
              </w:rPr>
            </w:pPr>
          </w:p>
        </w:tc>
      </w:tr>
      <w:tr w:rsidR="00D71E7E" w:rsidTr="00345119">
        <w:tc>
          <w:tcPr>
            <w:tcW w:w="9576" w:type="dxa"/>
          </w:tcPr>
          <w:p w:rsidR="008423E4" w:rsidRPr="00A8133F" w:rsidRDefault="00F827BD" w:rsidP="009E15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C00BC" w:rsidRDefault="00F827BD" w:rsidP="009E15BA">
            <w:pPr>
              <w:rPr>
                <w:sz w:val="22"/>
                <w:szCs w:val="22"/>
              </w:rPr>
            </w:pPr>
          </w:p>
          <w:p w:rsidR="00857FBC" w:rsidRDefault="00F827BD" w:rsidP="009E15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F827BD" w:rsidP="009E15BA">
            <w:pPr>
              <w:rPr>
                <w:b/>
              </w:rPr>
            </w:pPr>
          </w:p>
        </w:tc>
      </w:tr>
      <w:tr w:rsidR="00D71E7E" w:rsidTr="00345119">
        <w:tc>
          <w:tcPr>
            <w:tcW w:w="9576" w:type="dxa"/>
          </w:tcPr>
          <w:p w:rsidR="008423E4" w:rsidRPr="00A8133F" w:rsidRDefault="00F827BD" w:rsidP="009E15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C00BC" w:rsidRDefault="00F827BD" w:rsidP="009E15BA">
            <w:pPr>
              <w:rPr>
                <w:sz w:val="22"/>
                <w:szCs w:val="22"/>
              </w:rPr>
            </w:pPr>
          </w:p>
          <w:p w:rsidR="00BD3381" w:rsidRDefault="00F827BD" w:rsidP="009E15BA">
            <w:pPr>
              <w:pStyle w:val="Header"/>
              <w:jc w:val="both"/>
            </w:pPr>
            <w:r>
              <w:t>S.B. 1000 amends the Local Government Code to prohibit a municipal</w:t>
            </w:r>
            <w:r>
              <w:t xml:space="preserve"> zoning or land use ordinance from prohibiting a religious organization from using the religious organization's facility as housing for homeless individuals or having housing units on the organization's property for homeless individuals. The bill specifies</w:t>
            </w:r>
            <w:r>
              <w:t xml:space="preserve"> that the term "homeless individual" includes any </w:t>
            </w:r>
            <w:r w:rsidRPr="00BD3381">
              <w:t>individual in need of housing assistance</w:t>
            </w:r>
            <w:r>
              <w:t xml:space="preserve"> and </w:t>
            </w:r>
            <w:r>
              <w:t>provides for the meaning of</w:t>
            </w:r>
            <w:r>
              <w:t xml:space="preserve"> "religious organization" </w:t>
            </w:r>
            <w:r w:rsidRPr="00BD3381">
              <w:t>by reference to its definition</w:t>
            </w:r>
            <w:r>
              <w:t xml:space="preserve"> under provisions relating to </w:t>
            </w:r>
            <w:r w:rsidRPr="00BD3381">
              <w:t>faith-based chemical dependency treatment progra</w:t>
            </w:r>
            <w:r w:rsidRPr="00BD3381">
              <w:t>ms</w:t>
            </w:r>
            <w:r>
              <w:t>.</w:t>
            </w:r>
          </w:p>
          <w:p w:rsidR="00BD3381" w:rsidRPr="007C00BC" w:rsidRDefault="00F827BD" w:rsidP="009E15BA">
            <w:pPr>
              <w:pStyle w:val="Header"/>
              <w:jc w:val="both"/>
              <w:rPr>
                <w:sz w:val="22"/>
                <w:szCs w:val="22"/>
              </w:rPr>
            </w:pPr>
          </w:p>
          <w:p w:rsidR="001A5B57" w:rsidRDefault="00F827BD" w:rsidP="009E15BA">
            <w:pPr>
              <w:pStyle w:val="Header"/>
              <w:jc w:val="both"/>
            </w:pPr>
            <w:r>
              <w:t>S.B. 1000 authorizes a municipality to adopt or enforce an ordinance that imposes reasonable health and safety regulations on housing for homeless individuals provided on a religious organization's property. The bill authorizes a municipality to requi</w:t>
            </w:r>
            <w:r>
              <w:t xml:space="preserve">re a religious organization that provides housing for homeless individuals on the organization's property to provide the following: </w:t>
            </w:r>
          </w:p>
          <w:p w:rsidR="00BD3381" w:rsidRDefault="00F827BD" w:rsidP="009E15BA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electricity and heat for each housing unit; and</w:t>
            </w:r>
          </w:p>
          <w:p w:rsidR="00BD3381" w:rsidRDefault="00F827BD" w:rsidP="009E15BA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at least one kitchen and bathroom on the property that may be used by the i</w:t>
            </w:r>
            <w:r>
              <w:t>ndividuals.</w:t>
            </w:r>
          </w:p>
          <w:p w:rsidR="00155025" w:rsidRPr="007C00BC" w:rsidRDefault="00F827BD" w:rsidP="009E15BA">
            <w:pPr>
              <w:pStyle w:val="Header"/>
              <w:jc w:val="both"/>
              <w:rPr>
                <w:sz w:val="22"/>
                <w:szCs w:val="22"/>
              </w:rPr>
            </w:pPr>
          </w:p>
          <w:p w:rsidR="00BD3381" w:rsidRDefault="00F827BD" w:rsidP="009E15BA">
            <w:pPr>
              <w:pStyle w:val="Header"/>
              <w:jc w:val="both"/>
            </w:pPr>
            <w:r>
              <w:t>S.B. 1000</w:t>
            </w:r>
            <w:r>
              <w:t xml:space="preserve"> establishes that</w:t>
            </w:r>
            <w:r>
              <w:t>,</w:t>
            </w:r>
            <w:r>
              <w:t xml:space="preserve"> f</w:t>
            </w:r>
            <w:r>
              <w:t>or purposes of th</w:t>
            </w:r>
            <w:r>
              <w:t>e</w:t>
            </w:r>
            <w:r>
              <w:t xml:space="preserve"> bill's</w:t>
            </w:r>
            <w:r>
              <w:t xml:space="preserve"> provisions</w:t>
            </w:r>
            <w:r>
              <w:t>,</w:t>
            </w:r>
            <w:r>
              <w:t xml:space="preserve"> the term</w:t>
            </w:r>
            <w:r>
              <w:t xml:space="preserve"> "housing" does not include temporary housing provided during a life-threatening emergency or for natural disaster relief.</w:t>
            </w:r>
          </w:p>
          <w:p w:rsidR="008423E4" w:rsidRPr="00835628" w:rsidRDefault="00F827BD" w:rsidP="009E15BA">
            <w:pPr>
              <w:rPr>
                <w:b/>
              </w:rPr>
            </w:pPr>
          </w:p>
        </w:tc>
      </w:tr>
      <w:tr w:rsidR="00D71E7E" w:rsidTr="00345119">
        <w:tc>
          <w:tcPr>
            <w:tcW w:w="9576" w:type="dxa"/>
          </w:tcPr>
          <w:p w:rsidR="008423E4" w:rsidRPr="00A8133F" w:rsidRDefault="00F827BD" w:rsidP="009E15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7C00BC" w:rsidRDefault="00F827BD" w:rsidP="009E15BA">
            <w:pPr>
              <w:rPr>
                <w:sz w:val="22"/>
                <w:szCs w:val="22"/>
              </w:rPr>
            </w:pPr>
          </w:p>
          <w:p w:rsidR="008423E4" w:rsidRPr="00233FDB" w:rsidRDefault="00F827BD" w:rsidP="009E15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7C00BC" w:rsidRDefault="00F827BD" w:rsidP="008423E4">
      <w:pPr>
        <w:rPr>
          <w:sz w:val="2"/>
          <w:szCs w:val="2"/>
        </w:rPr>
      </w:pPr>
    </w:p>
    <w:sectPr w:rsidR="004108C3" w:rsidRPr="007C00BC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7BD">
      <w:r>
        <w:separator/>
      </w:r>
    </w:p>
  </w:endnote>
  <w:endnote w:type="continuationSeparator" w:id="0">
    <w:p w:rsidR="00000000" w:rsidRDefault="00F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1E7E" w:rsidTr="009C1E9A">
      <w:trPr>
        <w:cantSplit/>
      </w:trPr>
      <w:tc>
        <w:tcPr>
          <w:tcW w:w="0" w:type="pct"/>
        </w:tcPr>
        <w:p w:rsidR="00137D90" w:rsidRDefault="00F827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827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827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827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827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1E7E" w:rsidTr="009C1E9A">
      <w:trPr>
        <w:cantSplit/>
      </w:trPr>
      <w:tc>
        <w:tcPr>
          <w:tcW w:w="0" w:type="pct"/>
        </w:tcPr>
        <w:p w:rsidR="00EC379B" w:rsidRDefault="00F827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827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33490</w:t>
          </w:r>
        </w:p>
      </w:tc>
      <w:tc>
        <w:tcPr>
          <w:tcW w:w="2453" w:type="pct"/>
        </w:tcPr>
        <w:p w:rsidR="00EC379B" w:rsidRDefault="00F827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19.130.831</w:t>
          </w:r>
          <w:r>
            <w:fldChar w:fldCharType="end"/>
          </w:r>
        </w:p>
      </w:tc>
    </w:tr>
    <w:tr w:rsidR="00D71E7E" w:rsidTr="009C1E9A">
      <w:trPr>
        <w:cantSplit/>
      </w:trPr>
      <w:tc>
        <w:tcPr>
          <w:tcW w:w="0" w:type="pct"/>
        </w:tcPr>
        <w:p w:rsidR="00EC379B" w:rsidRDefault="00F827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827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827BD" w:rsidP="006D504F">
          <w:pPr>
            <w:pStyle w:val="Footer"/>
            <w:rPr>
              <w:rStyle w:val="PageNumber"/>
            </w:rPr>
          </w:pPr>
        </w:p>
        <w:p w:rsidR="00EC379B" w:rsidRDefault="00F827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1E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827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827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827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7BD">
      <w:r>
        <w:separator/>
      </w:r>
    </w:p>
  </w:footnote>
  <w:footnote w:type="continuationSeparator" w:id="0">
    <w:p w:rsidR="00000000" w:rsidRDefault="00F8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7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8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CC6"/>
    <w:multiLevelType w:val="hybridMultilevel"/>
    <w:tmpl w:val="91841C74"/>
    <w:lvl w:ilvl="0" w:tplc="C6B0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8C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C3C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A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2C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ED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08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2E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29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40B"/>
    <w:multiLevelType w:val="hybridMultilevel"/>
    <w:tmpl w:val="5204D974"/>
    <w:lvl w:ilvl="0" w:tplc="434E5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CC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CFF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CD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03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02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A3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CEE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81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E"/>
    <w:rsid w:val="00D71E7E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C79409-44C8-418E-98C9-B2375894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57F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F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2007</Characters>
  <Application>Microsoft Office Word</Application>
  <DocSecurity>4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SB01000 (Committee Report (Unamended))</vt:lpstr>
    </vt:vector>
  </TitlesOfParts>
  <Company>State of Texas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33490</dc:subject>
  <dc:creator>State of Texas</dc:creator>
  <dc:description>SB 1000 by Watson-(H)Urban Affairs</dc:description>
  <cp:lastModifiedBy>Stacey Nicchio</cp:lastModifiedBy>
  <cp:revision>2</cp:revision>
  <cp:lastPrinted>2003-11-26T17:21:00Z</cp:lastPrinted>
  <dcterms:created xsi:type="dcterms:W3CDTF">2019-05-15T22:14:00Z</dcterms:created>
  <dcterms:modified xsi:type="dcterms:W3CDTF">2019-05-15T22:14:00Z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19.130.831</vt:lpwstr>
  </property>
</Properties>
</file>