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40188" w:rsidTr="00345119">
        <w:tc>
          <w:tcPr>
            <w:tcW w:w="9576" w:type="dxa"/>
            <w:noWrap/>
          </w:tcPr>
          <w:p w:rsidR="008423E4" w:rsidRPr="0022177D" w:rsidRDefault="00431B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1BDE" w:rsidP="008423E4">
      <w:pPr>
        <w:jc w:val="center"/>
      </w:pPr>
    </w:p>
    <w:p w:rsidR="008423E4" w:rsidRPr="00B31F0E" w:rsidRDefault="00431BDE" w:rsidP="008423E4"/>
    <w:p w:rsidR="008423E4" w:rsidRPr="00742794" w:rsidRDefault="00431B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0188" w:rsidTr="00345119">
        <w:tc>
          <w:tcPr>
            <w:tcW w:w="9576" w:type="dxa"/>
          </w:tcPr>
          <w:p w:rsidR="008423E4" w:rsidRPr="00861995" w:rsidRDefault="00431BDE" w:rsidP="00345119">
            <w:pPr>
              <w:jc w:val="right"/>
            </w:pPr>
            <w:r>
              <w:t>S.B. 1024</w:t>
            </w:r>
          </w:p>
        </w:tc>
      </w:tr>
      <w:tr w:rsidR="00840188" w:rsidTr="00345119">
        <w:tc>
          <w:tcPr>
            <w:tcW w:w="9576" w:type="dxa"/>
          </w:tcPr>
          <w:p w:rsidR="008423E4" w:rsidRPr="00861995" w:rsidRDefault="00431BDE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840188" w:rsidTr="00345119">
        <w:tc>
          <w:tcPr>
            <w:tcW w:w="9576" w:type="dxa"/>
          </w:tcPr>
          <w:p w:rsidR="008423E4" w:rsidRPr="00861995" w:rsidRDefault="00431BDE" w:rsidP="00345119">
            <w:pPr>
              <w:jc w:val="right"/>
            </w:pPr>
            <w:r>
              <w:t>Land &amp; Resource Management</w:t>
            </w:r>
          </w:p>
        </w:tc>
      </w:tr>
      <w:tr w:rsidR="00840188" w:rsidTr="00345119">
        <w:tc>
          <w:tcPr>
            <w:tcW w:w="9576" w:type="dxa"/>
          </w:tcPr>
          <w:p w:rsidR="008423E4" w:rsidRDefault="00431B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1BDE" w:rsidP="008423E4">
      <w:pPr>
        <w:tabs>
          <w:tab w:val="right" w:pos="9360"/>
        </w:tabs>
      </w:pPr>
    </w:p>
    <w:p w:rsidR="008423E4" w:rsidRDefault="00431BDE" w:rsidP="008423E4"/>
    <w:p w:rsidR="008423E4" w:rsidRDefault="00431B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40188" w:rsidTr="00345119">
        <w:tc>
          <w:tcPr>
            <w:tcW w:w="9576" w:type="dxa"/>
          </w:tcPr>
          <w:p w:rsidR="008423E4" w:rsidRPr="00A8133F" w:rsidRDefault="00431BDE" w:rsidP="001F04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1BDE" w:rsidP="001F048B"/>
          <w:p w:rsidR="008423E4" w:rsidRDefault="00431BDE" w:rsidP="001F048B">
            <w:pPr>
              <w:pStyle w:val="Header"/>
              <w:jc w:val="both"/>
            </w:pPr>
            <w:r>
              <w:t xml:space="preserve">Concerns have been raised regarding the </w:t>
            </w:r>
            <w:r>
              <w:t>accessibility</w:t>
            </w:r>
            <w:r>
              <w:t xml:space="preserve"> </w:t>
            </w:r>
            <w:r>
              <w:t xml:space="preserve">of services provided by a municipality to certain residents located in an </w:t>
            </w:r>
            <w:r>
              <w:t>area annexed by the municipality. It has been noted that</w:t>
            </w:r>
            <w:r>
              <w:t xml:space="preserve"> </w:t>
            </w:r>
            <w:r>
              <w:t xml:space="preserve">residents living near the exterior of </w:t>
            </w:r>
            <w:r>
              <w:t>such an</w:t>
            </w:r>
            <w:r>
              <w:t xml:space="preserve"> area often face difficulties</w:t>
            </w:r>
            <w:r>
              <w:t xml:space="preserve"> in accessing these services and do so at great personal cost and effort. S.B. 1024 seeks to </w:t>
            </w:r>
            <w:r>
              <w:t>ensure that these residents have</w:t>
            </w:r>
            <w:r>
              <w:t xml:space="preserve"> access to adequate and reasonably priced municipal services</w:t>
            </w:r>
            <w:r>
              <w:t>.</w:t>
            </w:r>
          </w:p>
          <w:p w:rsidR="008423E4" w:rsidRPr="00E26B13" w:rsidRDefault="00431BDE" w:rsidP="001F048B">
            <w:pPr>
              <w:rPr>
                <w:b/>
              </w:rPr>
            </w:pPr>
          </w:p>
        </w:tc>
      </w:tr>
      <w:tr w:rsidR="00840188" w:rsidTr="00345119">
        <w:tc>
          <w:tcPr>
            <w:tcW w:w="9576" w:type="dxa"/>
          </w:tcPr>
          <w:p w:rsidR="0017725B" w:rsidRDefault="00431BDE" w:rsidP="001F04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1BDE" w:rsidP="001F048B">
            <w:pPr>
              <w:rPr>
                <w:b/>
                <w:u w:val="single"/>
              </w:rPr>
            </w:pPr>
          </w:p>
          <w:p w:rsidR="007B5224" w:rsidRPr="007B5224" w:rsidRDefault="00431BDE" w:rsidP="001F048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431BDE" w:rsidP="001F048B">
            <w:pPr>
              <w:rPr>
                <w:b/>
                <w:u w:val="single"/>
              </w:rPr>
            </w:pPr>
          </w:p>
        </w:tc>
      </w:tr>
      <w:tr w:rsidR="00840188" w:rsidTr="00345119">
        <w:tc>
          <w:tcPr>
            <w:tcW w:w="9576" w:type="dxa"/>
          </w:tcPr>
          <w:p w:rsidR="008423E4" w:rsidRPr="00A8133F" w:rsidRDefault="00431BDE" w:rsidP="001F04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1BDE" w:rsidP="001F048B"/>
          <w:p w:rsidR="007B5224" w:rsidRDefault="00431BDE" w:rsidP="001F04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431BDE" w:rsidP="001F048B">
            <w:pPr>
              <w:rPr>
                <w:b/>
              </w:rPr>
            </w:pPr>
          </w:p>
        </w:tc>
      </w:tr>
      <w:tr w:rsidR="00840188" w:rsidTr="00345119">
        <w:tc>
          <w:tcPr>
            <w:tcW w:w="9576" w:type="dxa"/>
          </w:tcPr>
          <w:p w:rsidR="008423E4" w:rsidRPr="00A8133F" w:rsidRDefault="00431BDE" w:rsidP="001F04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1BDE" w:rsidP="001F048B"/>
          <w:p w:rsidR="00CD4E0C" w:rsidRDefault="00431BDE" w:rsidP="001F04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1024 amends the Local Government Code</w:t>
            </w:r>
            <w:r>
              <w:t xml:space="preserve"> </w:t>
            </w:r>
            <w:r>
              <w:t xml:space="preserve">to </w:t>
            </w:r>
            <w:r>
              <w:t>require a municipality</w:t>
            </w:r>
            <w:r>
              <w:t xml:space="preserve"> with a population of 350,000 or less to provide access to services provided to an annexed area under a service plan that is identical or substantially similar to access to those services in the municipality. The bill authorizes a person residing in an ann</w:t>
            </w:r>
            <w:r>
              <w:t>exed area subject to a service plan to apply for a writ of mandamus against a municipality</w:t>
            </w:r>
            <w:r>
              <w:t xml:space="preserve"> that fails to provide </w:t>
            </w:r>
            <w:r>
              <w:t xml:space="preserve">such </w:t>
            </w:r>
            <w:r>
              <w:t>access. The bill establishes that, in the action for the writ</w:t>
            </w:r>
            <w:r>
              <w:t>:</w:t>
            </w:r>
            <w:r>
              <w:t xml:space="preserve"> </w:t>
            </w:r>
          </w:p>
          <w:p w:rsidR="00CD4E0C" w:rsidRDefault="00431BDE" w:rsidP="001F048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court may order the part</w:t>
            </w:r>
            <w:r>
              <w:t>ies to participate in mediation</w:t>
            </w:r>
            <w:r>
              <w:t>;</w:t>
            </w:r>
            <w:r>
              <w:t xml:space="preserve"> </w:t>
            </w:r>
          </w:p>
          <w:p w:rsidR="00CD4E0C" w:rsidRDefault="00431BDE" w:rsidP="001F048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municipa</w:t>
            </w:r>
            <w:r>
              <w:t>lity has the burden of proving that the m</w:t>
            </w:r>
            <w:r>
              <w:t xml:space="preserve">unicipality provided </w:t>
            </w:r>
            <w:r>
              <w:t xml:space="preserve">the </w:t>
            </w:r>
            <w:r>
              <w:t>access</w:t>
            </w:r>
            <w:r>
              <w:t>;</w:t>
            </w:r>
            <w:r>
              <w:t xml:space="preserve"> and </w:t>
            </w:r>
          </w:p>
          <w:p w:rsidR="00CD4E0C" w:rsidRDefault="00431BDE" w:rsidP="001F048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person </w:t>
            </w:r>
            <w:r w:rsidRPr="005B1262">
              <w:t>may provide evidence that the costs for the person to access the services are disproportionate to the costs incurred by a municipal resident to access those services</w:t>
            </w:r>
            <w:r>
              <w:t>.</w:t>
            </w:r>
            <w:r>
              <w:t xml:space="preserve"> </w:t>
            </w:r>
          </w:p>
          <w:p w:rsidR="005B1262" w:rsidRDefault="00431BDE" w:rsidP="001F048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</w:t>
            </w:r>
            <w:r>
              <w:t xml:space="preserve">requires </w:t>
            </w:r>
            <w:r>
              <w:t>the municipality</w:t>
            </w:r>
            <w:r>
              <w:t>, if the person prevails</w:t>
            </w:r>
            <w:r>
              <w:t>,</w:t>
            </w:r>
            <w:r>
              <w:t xml:space="preserve"> to disannex the property that is the subject of the suit within a reasonable period specified by the court or provide </w:t>
            </w:r>
            <w:r>
              <w:t>the access</w:t>
            </w:r>
            <w:r>
              <w:t>. The bill requires the court, if the person prevails,</w:t>
            </w:r>
            <w:r>
              <w:t xml:space="preserve"> to award th</w:t>
            </w:r>
            <w:r>
              <w:t xml:space="preserve">e person's attorney's fees and costs incurred in bringing the action for the writ. </w:t>
            </w:r>
            <w:r>
              <w:t>A</w:t>
            </w:r>
            <w:r>
              <w:t xml:space="preserve"> municipality's governmental immunity to suit and from liability is waived and abolished to the extent of liability created under the bill's provisions</w:t>
            </w:r>
            <w:r>
              <w:t>.</w:t>
            </w:r>
          </w:p>
          <w:p w:rsidR="008423E4" w:rsidRPr="00835628" w:rsidRDefault="00431BDE" w:rsidP="001F048B">
            <w:pPr>
              <w:rPr>
                <w:b/>
              </w:rPr>
            </w:pPr>
          </w:p>
        </w:tc>
      </w:tr>
      <w:tr w:rsidR="00840188" w:rsidTr="00345119">
        <w:tc>
          <w:tcPr>
            <w:tcW w:w="9576" w:type="dxa"/>
          </w:tcPr>
          <w:p w:rsidR="008423E4" w:rsidRPr="00A8133F" w:rsidRDefault="00431BDE" w:rsidP="001F04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1BDE" w:rsidP="001F048B"/>
          <w:p w:rsidR="008423E4" w:rsidRPr="003624F2" w:rsidRDefault="00431BDE" w:rsidP="001F04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31BDE" w:rsidP="001F048B">
            <w:pPr>
              <w:rPr>
                <w:b/>
              </w:rPr>
            </w:pPr>
          </w:p>
        </w:tc>
      </w:tr>
    </w:tbl>
    <w:p w:rsidR="008423E4" w:rsidRPr="00BE0E75" w:rsidRDefault="00431B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1BD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1BDE">
      <w:r>
        <w:separator/>
      </w:r>
    </w:p>
  </w:endnote>
  <w:endnote w:type="continuationSeparator" w:id="0">
    <w:p w:rsidR="00000000" w:rsidRDefault="0043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1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0188" w:rsidTr="009C1E9A">
      <w:trPr>
        <w:cantSplit/>
      </w:trPr>
      <w:tc>
        <w:tcPr>
          <w:tcW w:w="0" w:type="pct"/>
        </w:tcPr>
        <w:p w:rsidR="00137D90" w:rsidRDefault="00431B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1B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1B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1B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1B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0188" w:rsidTr="009C1E9A">
      <w:trPr>
        <w:cantSplit/>
      </w:trPr>
      <w:tc>
        <w:tcPr>
          <w:tcW w:w="0" w:type="pct"/>
        </w:tcPr>
        <w:p w:rsidR="00EC379B" w:rsidRDefault="00431B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1B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33188</w:t>
          </w:r>
        </w:p>
      </w:tc>
      <w:tc>
        <w:tcPr>
          <w:tcW w:w="2453" w:type="pct"/>
        </w:tcPr>
        <w:p w:rsidR="00EC379B" w:rsidRDefault="00431B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19.129.712</w:t>
          </w:r>
          <w:r>
            <w:fldChar w:fldCharType="end"/>
          </w:r>
        </w:p>
      </w:tc>
    </w:tr>
    <w:tr w:rsidR="00840188" w:rsidTr="009C1E9A">
      <w:trPr>
        <w:cantSplit/>
      </w:trPr>
      <w:tc>
        <w:tcPr>
          <w:tcW w:w="0" w:type="pct"/>
        </w:tcPr>
        <w:p w:rsidR="00EC379B" w:rsidRDefault="00431B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1B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1BDE" w:rsidP="006D504F">
          <w:pPr>
            <w:pStyle w:val="Footer"/>
            <w:rPr>
              <w:rStyle w:val="PageNumber"/>
            </w:rPr>
          </w:pPr>
        </w:p>
        <w:p w:rsidR="00EC379B" w:rsidRDefault="00431B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01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1B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1B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1B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1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1BDE">
      <w:r>
        <w:separator/>
      </w:r>
    </w:p>
  </w:footnote>
  <w:footnote w:type="continuationSeparator" w:id="0">
    <w:p w:rsidR="00000000" w:rsidRDefault="0043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1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1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4C9B"/>
    <w:multiLevelType w:val="hybridMultilevel"/>
    <w:tmpl w:val="274AA28A"/>
    <w:lvl w:ilvl="0" w:tplc="380A2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EF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C6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8F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C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E4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4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E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00F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8"/>
    <w:rsid w:val="00431BDE"/>
    <w:rsid w:val="0084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29EB4-96E5-4562-8621-580CB0AC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5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2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2026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SB01024 (Committee Report (Unamended))</vt:lpstr>
    </vt:vector>
  </TitlesOfParts>
  <Company>State of Texas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33188</dc:subject>
  <dc:creator>State of Texas</dc:creator>
  <dc:description>SB 1024 by Perry-(H)Land &amp; Resource Management</dc:description>
  <cp:lastModifiedBy>Erin Conway</cp:lastModifiedBy>
  <cp:revision>2</cp:revision>
  <cp:lastPrinted>2003-11-26T17:21:00Z</cp:lastPrinted>
  <dcterms:created xsi:type="dcterms:W3CDTF">2019-05-13T14:27:00Z</dcterms:created>
  <dcterms:modified xsi:type="dcterms:W3CDTF">2019-05-13T14:27:00Z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19.129.712</vt:lpwstr>
  </property>
</Properties>
</file>