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1E" w:rsidRDefault="000551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5988958BD34291964379DFE04B4429"/>
          </w:placeholder>
        </w:sdtPr>
        <w:sdtContent>
          <w:r w:rsidRPr="005C2A78">
            <w:rPr>
              <w:rFonts w:cs="Times New Roman"/>
              <w:b/>
              <w:szCs w:val="24"/>
              <w:u w:val="single"/>
            </w:rPr>
            <w:t>BILL ANALYSIS</w:t>
          </w:r>
        </w:sdtContent>
      </w:sdt>
    </w:p>
    <w:p w:rsidR="0005511E" w:rsidRPr="00585C31" w:rsidRDefault="0005511E" w:rsidP="000F1DF9">
      <w:pPr>
        <w:spacing w:after="0" w:line="240" w:lineRule="auto"/>
        <w:rPr>
          <w:rFonts w:cs="Times New Roman"/>
          <w:szCs w:val="24"/>
        </w:rPr>
      </w:pPr>
    </w:p>
    <w:p w:rsidR="0005511E" w:rsidRPr="00585C31" w:rsidRDefault="000551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511E" w:rsidTr="000F1DF9">
        <w:tc>
          <w:tcPr>
            <w:tcW w:w="2718" w:type="dxa"/>
          </w:tcPr>
          <w:p w:rsidR="0005511E" w:rsidRPr="005C2A78" w:rsidRDefault="0005511E" w:rsidP="006D756B">
            <w:pPr>
              <w:rPr>
                <w:rFonts w:cs="Times New Roman"/>
                <w:szCs w:val="24"/>
              </w:rPr>
            </w:pPr>
            <w:sdt>
              <w:sdtPr>
                <w:rPr>
                  <w:rFonts w:cs="Times New Roman"/>
                  <w:szCs w:val="24"/>
                </w:rPr>
                <w:alias w:val="Agency Title"/>
                <w:tag w:val="AgencyTitleContentControl"/>
                <w:id w:val="1920747753"/>
                <w:lock w:val="sdtContentLocked"/>
                <w:placeholder>
                  <w:docPart w:val="B244229EF02E4C36814657D83B81AAEF"/>
                </w:placeholder>
              </w:sdtPr>
              <w:sdtEndPr>
                <w:rPr>
                  <w:rFonts w:cstheme="minorBidi"/>
                  <w:szCs w:val="22"/>
                </w:rPr>
              </w:sdtEndPr>
              <w:sdtContent>
                <w:r>
                  <w:rPr>
                    <w:rFonts w:cs="Times New Roman"/>
                    <w:szCs w:val="24"/>
                  </w:rPr>
                  <w:t>Senate Research Center</w:t>
                </w:r>
              </w:sdtContent>
            </w:sdt>
          </w:p>
        </w:tc>
        <w:tc>
          <w:tcPr>
            <w:tcW w:w="6858" w:type="dxa"/>
          </w:tcPr>
          <w:p w:rsidR="0005511E" w:rsidRPr="00FF6471" w:rsidRDefault="0005511E" w:rsidP="000F1DF9">
            <w:pPr>
              <w:jc w:val="right"/>
              <w:rPr>
                <w:rFonts w:cs="Times New Roman"/>
                <w:szCs w:val="24"/>
              </w:rPr>
            </w:pPr>
            <w:sdt>
              <w:sdtPr>
                <w:rPr>
                  <w:rFonts w:cs="Times New Roman"/>
                  <w:szCs w:val="24"/>
                </w:rPr>
                <w:alias w:val="Bill Number"/>
                <w:tag w:val="BillNumberOne"/>
                <w:id w:val="-410784069"/>
                <w:lock w:val="sdtContentLocked"/>
                <w:placeholder>
                  <w:docPart w:val="DC2B0412CEAC40998190918EB0C4B88D"/>
                </w:placeholder>
              </w:sdtPr>
              <w:sdtContent>
                <w:r>
                  <w:rPr>
                    <w:rFonts w:cs="Times New Roman"/>
                    <w:szCs w:val="24"/>
                  </w:rPr>
                  <w:t>S.B. 1096</w:t>
                </w:r>
              </w:sdtContent>
            </w:sdt>
          </w:p>
        </w:tc>
      </w:tr>
      <w:tr w:rsidR="0005511E" w:rsidTr="000F1DF9">
        <w:sdt>
          <w:sdtPr>
            <w:rPr>
              <w:rFonts w:cs="Times New Roman"/>
              <w:szCs w:val="24"/>
            </w:rPr>
            <w:alias w:val="TLCNumber"/>
            <w:tag w:val="TLCNumber"/>
            <w:id w:val="-542600604"/>
            <w:lock w:val="sdtLocked"/>
            <w:placeholder>
              <w:docPart w:val="3E79DE7D5BA24CCFA353F83155B51F40"/>
            </w:placeholder>
          </w:sdtPr>
          <w:sdtContent>
            <w:tc>
              <w:tcPr>
                <w:tcW w:w="2718" w:type="dxa"/>
              </w:tcPr>
              <w:p w:rsidR="0005511E" w:rsidRPr="000F1DF9" w:rsidRDefault="0005511E" w:rsidP="00C65088">
                <w:pPr>
                  <w:rPr>
                    <w:rFonts w:cs="Times New Roman"/>
                    <w:szCs w:val="24"/>
                  </w:rPr>
                </w:pPr>
                <w:r>
                  <w:rPr>
                    <w:rFonts w:cs="Times New Roman"/>
                    <w:szCs w:val="24"/>
                  </w:rPr>
                  <w:t>86R9144 LED-D</w:t>
                </w:r>
              </w:p>
            </w:tc>
          </w:sdtContent>
        </w:sdt>
        <w:tc>
          <w:tcPr>
            <w:tcW w:w="6858" w:type="dxa"/>
          </w:tcPr>
          <w:p w:rsidR="0005511E" w:rsidRPr="005C2A78" w:rsidRDefault="0005511E" w:rsidP="006D756B">
            <w:pPr>
              <w:jc w:val="right"/>
              <w:rPr>
                <w:rFonts w:cs="Times New Roman"/>
                <w:szCs w:val="24"/>
              </w:rPr>
            </w:pPr>
            <w:sdt>
              <w:sdtPr>
                <w:rPr>
                  <w:rFonts w:cs="Times New Roman"/>
                  <w:szCs w:val="24"/>
                </w:rPr>
                <w:alias w:val="Author Label"/>
                <w:tag w:val="By"/>
                <w:id w:val="72399597"/>
                <w:lock w:val="sdtLocked"/>
                <w:placeholder>
                  <w:docPart w:val="5EC0610A88714507B4B1B4FEB74352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C0D393D60E4A3F80E52A0F054E147B"/>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7062DA914FE64DC8AB83A3B345559200"/>
                </w:placeholder>
                <w:showingPlcHdr/>
              </w:sdtPr>
              <w:sdtContent/>
            </w:sdt>
          </w:p>
        </w:tc>
      </w:tr>
      <w:tr w:rsidR="0005511E" w:rsidTr="000F1DF9">
        <w:tc>
          <w:tcPr>
            <w:tcW w:w="2718" w:type="dxa"/>
          </w:tcPr>
          <w:p w:rsidR="0005511E" w:rsidRPr="00BC7495" w:rsidRDefault="0005511E" w:rsidP="000F1DF9">
            <w:pPr>
              <w:rPr>
                <w:rFonts w:cs="Times New Roman"/>
                <w:szCs w:val="24"/>
              </w:rPr>
            </w:pPr>
          </w:p>
        </w:tc>
        <w:sdt>
          <w:sdtPr>
            <w:rPr>
              <w:rFonts w:cs="Times New Roman"/>
              <w:szCs w:val="24"/>
            </w:rPr>
            <w:alias w:val="Committee"/>
            <w:tag w:val="Committee"/>
            <w:id w:val="1914272295"/>
            <w:lock w:val="sdtContentLocked"/>
            <w:placeholder>
              <w:docPart w:val="6593DB2CA6E648F7BDEC88DD66A8288A"/>
            </w:placeholder>
          </w:sdtPr>
          <w:sdtContent>
            <w:tc>
              <w:tcPr>
                <w:tcW w:w="6858" w:type="dxa"/>
              </w:tcPr>
              <w:p w:rsidR="0005511E" w:rsidRPr="00FF6471" w:rsidRDefault="0005511E" w:rsidP="000F1DF9">
                <w:pPr>
                  <w:jc w:val="right"/>
                  <w:rPr>
                    <w:rFonts w:cs="Times New Roman"/>
                    <w:szCs w:val="24"/>
                  </w:rPr>
                </w:pPr>
                <w:r>
                  <w:rPr>
                    <w:rFonts w:cs="Times New Roman"/>
                    <w:szCs w:val="24"/>
                  </w:rPr>
                  <w:t>Health &amp; Human Services</w:t>
                </w:r>
              </w:p>
            </w:tc>
          </w:sdtContent>
        </w:sdt>
      </w:tr>
      <w:tr w:rsidR="0005511E" w:rsidTr="000F1DF9">
        <w:tc>
          <w:tcPr>
            <w:tcW w:w="2718" w:type="dxa"/>
          </w:tcPr>
          <w:p w:rsidR="0005511E" w:rsidRPr="00BC7495" w:rsidRDefault="0005511E" w:rsidP="000F1DF9">
            <w:pPr>
              <w:rPr>
                <w:rFonts w:cs="Times New Roman"/>
                <w:szCs w:val="24"/>
              </w:rPr>
            </w:pPr>
          </w:p>
        </w:tc>
        <w:sdt>
          <w:sdtPr>
            <w:rPr>
              <w:rFonts w:cs="Times New Roman"/>
              <w:szCs w:val="24"/>
            </w:rPr>
            <w:alias w:val="Date"/>
            <w:tag w:val="DateContentControl"/>
            <w:id w:val="1178081906"/>
            <w:lock w:val="sdtLocked"/>
            <w:placeholder>
              <w:docPart w:val="76B3627C0A7B4676B8CF87F9FC759574"/>
            </w:placeholder>
            <w:date w:fullDate="2019-03-14T00:00:00Z">
              <w:dateFormat w:val="M/d/yyyy"/>
              <w:lid w:val="en-US"/>
              <w:storeMappedDataAs w:val="dateTime"/>
              <w:calendar w:val="gregorian"/>
            </w:date>
          </w:sdtPr>
          <w:sdtContent>
            <w:tc>
              <w:tcPr>
                <w:tcW w:w="6858" w:type="dxa"/>
              </w:tcPr>
              <w:p w:rsidR="0005511E" w:rsidRPr="00FF6471" w:rsidRDefault="0005511E" w:rsidP="000F1DF9">
                <w:pPr>
                  <w:jc w:val="right"/>
                  <w:rPr>
                    <w:rFonts w:cs="Times New Roman"/>
                    <w:szCs w:val="24"/>
                  </w:rPr>
                </w:pPr>
                <w:r>
                  <w:rPr>
                    <w:rFonts w:cs="Times New Roman"/>
                    <w:szCs w:val="24"/>
                  </w:rPr>
                  <w:t>3/14/2019</w:t>
                </w:r>
              </w:p>
            </w:tc>
          </w:sdtContent>
        </w:sdt>
      </w:tr>
      <w:tr w:rsidR="0005511E" w:rsidTr="000F1DF9">
        <w:tc>
          <w:tcPr>
            <w:tcW w:w="2718" w:type="dxa"/>
          </w:tcPr>
          <w:p w:rsidR="0005511E" w:rsidRPr="00BC7495" w:rsidRDefault="0005511E" w:rsidP="000F1DF9">
            <w:pPr>
              <w:rPr>
                <w:rFonts w:cs="Times New Roman"/>
                <w:szCs w:val="24"/>
              </w:rPr>
            </w:pPr>
          </w:p>
        </w:tc>
        <w:sdt>
          <w:sdtPr>
            <w:rPr>
              <w:rFonts w:cs="Times New Roman"/>
              <w:szCs w:val="24"/>
            </w:rPr>
            <w:alias w:val="BA Version"/>
            <w:tag w:val="BAVersion"/>
            <w:id w:val="-1685590809"/>
            <w:lock w:val="sdtContentLocked"/>
            <w:placeholder>
              <w:docPart w:val="B00E3AAA43B4441A84888D372F56343F"/>
            </w:placeholder>
          </w:sdtPr>
          <w:sdtContent>
            <w:tc>
              <w:tcPr>
                <w:tcW w:w="6858" w:type="dxa"/>
              </w:tcPr>
              <w:p w:rsidR="0005511E" w:rsidRPr="00FF6471" w:rsidRDefault="0005511E" w:rsidP="000F1DF9">
                <w:pPr>
                  <w:jc w:val="right"/>
                  <w:rPr>
                    <w:rFonts w:cs="Times New Roman"/>
                    <w:szCs w:val="24"/>
                  </w:rPr>
                </w:pPr>
                <w:r>
                  <w:rPr>
                    <w:rFonts w:cs="Times New Roman"/>
                    <w:szCs w:val="24"/>
                  </w:rPr>
                  <w:t>As Filed</w:t>
                </w:r>
              </w:p>
            </w:tc>
          </w:sdtContent>
        </w:sdt>
      </w:tr>
    </w:tbl>
    <w:p w:rsidR="0005511E" w:rsidRPr="00FF6471" w:rsidRDefault="0005511E" w:rsidP="000F1DF9">
      <w:pPr>
        <w:spacing w:after="0" w:line="240" w:lineRule="auto"/>
        <w:rPr>
          <w:rFonts w:cs="Times New Roman"/>
          <w:szCs w:val="24"/>
        </w:rPr>
      </w:pPr>
    </w:p>
    <w:p w:rsidR="0005511E" w:rsidRPr="00FF6471" w:rsidRDefault="0005511E" w:rsidP="000F1DF9">
      <w:pPr>
        <w:spacing w:after="0" w:line="240" w:lineRule="auto"/>
        <w:rPr>
          <w:rFonts w:cs="Times New Roman"/>
          <w:szCs w:val="24"/>
        </w:rPr>
      </w:pPr>
    </w:p>
    <w:p w:rsidR="0005511E" w:rsidRPr="00FF6471" w:rsidRDefault="000551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BE3B0EE9C140CA95C9B0EAE01AD50C"/>
        </w:placeholder>
      </w:sdtPr>
      <w:sdtContent>
        <w:p w:rsidR="0005511E" w:rsidRDefault="000551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1B616B99A043D3997BCF6DD9D9F640"/>
        </w:placeholder>
      </w:sdtPr>
      <w:sdtContent>
        <w:p w:rsidR="0005511E" w:rsidRDefault="0005511E" w:rsidP="00D91EFB">
          <w:pPr>
            <w:pStyle w:val="NormalWeb"/>
            <w:spacing w:before="0" w:beforeAutospacing="0" w:after="0" w:afterAutospacing="0"/>
            <w:jc w:val="both"/>
            <w:divId w:val="1342198418"/>
            <w:rPr>
              <w:rFonts w:eastAsia="Times New Roman"/>
              <w:bCs/>
            </w:rPr>
          </w:pPr>
        </w:p>
        <w:p w:rsidR="0005511E" w:rsidRDefault="0005511E" w:rsidP="00D91EFB">
          <w:pPr>
            <w:pStyle w:val="NormalWeb"/>
            <w:spacing w:before="0" w:beforeAutospacing="0" w:after="0" w:afterAutospacing="0"/>
            <w:jc w:val="both"/>
            <w:divId w:val="1342198418"/>
            <w:rPr>
              <w:color w:val="000000"/>
            </w:rPr>
          </w:pPr>
          <w:r w:rsidRPr="006C1E53">
            <w:rPr>
              <w:color w:val="000000"/>
            </w:rPr>
            <w:t>The Medically Dependent Children Program (MDCP) serves approximately 5,600 children and young adults under the age of 21. The program offers community-based services for children with disabilities who require a nursing facility level of care. MDCP allows children with disabilities and complex medical needs to access Medicaid services on a medical-needs-based criteria, allowing the child to remain at home with family while sti</w:t>
          </w:r>
          <w:r>
            <w:rPr>
              <w:color w:val="000000"/>
            </w:rPr>
            <w:t>ll accessing and receiving life</w:t>
          </w:r>
          <w:r>
            <w:rPr>
              <w:color w:val="000000"/>
            </w:rPr>
            <w:noBreakHyphen/>
          </w:r>
          <w:r w:rsidRPr="006C1E53">
            <w:rPr>
              <w:color w:val="000000"/>
            </w:rPr>
            <w:t>sustaining, medically necessary services which keep them alive, stable</w:t>
          </w:r>
          <w:r>
            <w:rPr>
              <w:color w:val="000000"/>
            </w:rPr>
            <w:t>,</w:t>
          </w:r>
          <w:r w:rsidRPr="006C1E53">
            <w:rPr>
              <w:color w:val="000000"/>
            </w:rPr>
            <w:t xml:space="preserve"> and in the community.</w:t>
          </w:r>
        </w:p>
        <w:p w:rsidR="0005511E" w:rsidRPr="006C1E53" w:rsidRDefault="0005511E" w:rsidP="00D91EFB">
          <w:pPr>
            <w:pStyle w:val="NormalWeb"/>
            <w:spacing w:before="0" w:beforeAutospacing="0" w:after="0" w:afterAutospacing="0"/>
            <w:jc w:val="both"/>
            <w:divId w:val="1342198418"/>
            <w:rPr>
              <w:color w:val="000000"/>
            </w:rPr>
          </w:pPr>
        </w:p>
        <w:p w:rsidR="0005511E" w:rsidRDefault="0005511E" w:rsidP="00D91EFB">
          <w:pPr>
            <w:pStyle w:val="NormalWeb"/>
            <w:spacing w:before="0" w:beforeAutospacing="0" w:after="0" w:afterAutospacing="0"/>
            <w:jc w:val="both"/>
            <w:divId w:val="1342198418"/>
            <w:rPr>
              <w:color w:val="000000"/>
            </w:rPr>
          </w:pPr>
          <w:r w:rsidRPr="006C1E53">
            <w:rPr>
              <w:color w:val="000000"/>
            </w:rPr>
            <w:t xml:space="preserve">Currently, some drugs on the formulary may require prior authorization. Pharmacy prior authorization services for Medicaid Managed Care enrollees are administered by the managed care organization, and the MCOs/PBMs often add their own clinical edits, clinical authorizations, cost ceilings in violation of federal EPSDT and state Medicaid policies, and other additional requirements or barriers, including fail-first or step therapy requirements. </w:t>
          </w:r>
        </w:p>
        <w:p w:rsidR="0005511E" w:rsidRPr="006C1E53" w:rsidRDefault="0005511E" w:rsidP="00D91EFB">
          <w:pPr>
            <w:pStyle w:val="NormalWeb"/>
            <w:spacing w:before="0" w:beforeAutospacing="0" w:after="0" w:afterAutospacing="0"/>
            <w:jc w:val="both"/>
            <w:divId w:val="1342198418"/>
            <w:rPr>
              <w:color w:val="000000"/>
            </w:rPr>
          </w:pPr>
        </w:p>
        <w:p w:rsidR="0005511E" w:rsidRDefault="0005511E" w:rsidP="00D91EFB">
          <w:pPr>
            <w:pStyle w:val="NormalWeb"/>
            <w:spacing w:before="0" w:beforeAutospacing="0" w:after="0" w:afterAutospacing="0"/>
            <w:jc w:val="both"/>
            <w:divId w:val="1342198418"/>
            <w:rPr>
              <w:color w:val="000000"/>
            </w:rPr>
          </w:pPr>
          <w:r w:rsidRPr="006C1E53">
            <w:rPr>
              <w:color w:val="000000"/>
            </w:rPr>
            <w:t>This causes unnecessary and harmful denials and delays, resulting in the child decompensating, their condition deteriorating, and/or causing further complications; ER visits; hospitalizations solely to access medications that could be administered at home or in an outpatient setti</w:t>
          </w:r>
          <w:r>
            <w:rPr>
              <w:color w:val="000000"/>
            </w:rPr>
            <w:t>ng; and increased level of care,</w:t>
          </w:r>
          <w:r w:rsidRPr="006C1E53">
            <w:rPr>
              <w:color w:val="000000"/>
            </w:rPr>
            <w:t xml:space="preserve"> again resulti</w:t>
          </w:r>
          <w:r>
            <w:rPr>
              <w:color w:val="000000"/>
            </w:rPr>
            <w:t>ng in costly and harmful delays;</w:t>
          </w:r>
          <w:r w:rsidRPr="006C1E53">
            <w:rPr>
              <w:color w:val="000000"/>
            </w:rPr>
            <w:t xml:space="preserve"> and increased costs to the state.</w:t>
          </w:r>
        </w:p>
        <w:p w:rsidR="0005511E" w:rsidRPr="006C1E53" w:rsidRDefault="0005511E" w:rsidP="00D91EFB">
          <w:pPr>
            <w:pStyle w:val="NormalWeb"/>
            <w:spacing w:before="0" w:beforeAutospacing="0" w:after="0" w:afterAutospacing="0"/>
            <w:jc w:val="both"/>
            <w:divId w:val="1342198418"/>
            <w:rPr>
              <w:color w:val="000000"/>
            </w:rPr>
          </w:pPr>
        </w:p>
        <w:p w:rsidR="0005511E" w:rsidRDefault="0005511E" w:rsidP="00D91EFB">
          <w:pPr>
            <w:pStyle w:val="NormalWeb"/>
            <w:spacing w:before="0" w:beforeAutospacing="0" w:after="0" w:afterAutospacing="0"/>
            <w:jc w:val="both"/>
            <w:divId w:val="1342198418"/>
            <w:rPr>
              <w:color w:val="000000"/>
            </w:rPr>
          </w:pPr>
          <w:r w:rsidRPr="006C1E53">
            <w:rPr>
              <w:color w:val="000000"/>
            </w:rPr>
            <w:t>S</w:t>
          </w:r>
          <w:r>
            <w:rPr>
              <w:color w:val="000000"/>
            </w:rPr>
            <w:t>.</w:t>
          </w:r>
          <w:r w:rsidRPr="006C1E53">
            <w:rPr>
              <w:color w:val="000000"/>
            </w:rPr>
            <w:t>B</w:t>
          </w:r>
          <w:r>
            <w:rPr>
              <w:color w:val="000000"/>
            </w:rPr>
            <w:t>.</w:t>
          </w:r>
          <w:r w:rsidRPr="006C1E53">
            <w:rPr>
              <w:color w:val="000000"/>
            </w:rPr>
            <w:t xml:space="preserve"> 1096 will ensure a prior authorization for a drug that is prescribed to an MDCP enrollee is approved if that drug appears on the formulary without additional barriers, clinical edits or other requirements, fail-first or step therapy, or authorizations, regardless of whether the drug is preferred or not.</w:t>
          </w:r>
        </w:p>
        <w:p w:rsidR="0005511E" w:rsidRPr="006C1E53" w:rsidRDefault="0005511E" w:rsidP="00D91EFB">
          <w:pPr>
            <w:pStyle w:val="NormalWeb"/>
            <w:spacing w:before="0" w:beforeAutospacing="0" w:after="0" w:afterAutospacing="0"/>
            <w:jc w:val="both"/>
            <w:divId w:val="1342198418"/>
            <w:rPr>
              <w:color w:val="000000"/>
            </w:rPr>
          </w:pPr>
        </w:p>
        <w:p w:rsidR="0005511E" w:rsidRPr="006C1E53" w:rsidRDefault="0005511E" w:rsidP="00D91EFB">
          <w:pPr>
            <w:pStyle w:val="NormalWeb"/>
            <w:spacing w:before="0" w:beforeAutospacing="0" w:after="0" w:afterAutospacing="0"/>
            <w:jc w:val="both"/>
            <w:divId w:val="1342198418"/>
            <w:rPr>
              <w:color w:val="000000"/>
            </w:rPr>
          </w:pPr>
          <w:r w:rsidRPr="006C1E53">
            <w:rPr>
              <w:color w:val="000000"/>
            </w:rPr>
            <w:t>The bill also ensures continued access to medications already prescribed for a program enrollee.</w:t>
          </w:r>
        </w:p>
        <w:p w:rsidR="0005511E" w:rsidRPr="00D70925" w:rsidRDefault="0005511E" w:rsidP="00D91EFB">
          <w:pPr>
            <w:spacing w:after="0" w:line="240" w:lineRule="auto"/>
            <w:jc w:val="both"/>
            <w:rPr>
              <w:rFonts w:eastAsia="Times New Roman" w:cs="Times New Roman"/>
              <w:bCs/>
              <w:szCs w:val="24"/>
            </w:rPr>
          </w:pPr>
        </w:p>
      </w:sdtContent>
    </w:sdt>
    <w:p w:rsidR="0005511E" w:rsidRDefault="0005511E" w:rsidP="00D91EF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1096 </w:t>
      </w:r>
      <w:bookmarkStart w:id="1" w:name="AmendsCurrentLaw"/>
      <w:bookmarkEnd w:id="1"/>
      <w:r>
        <w:rPr>
          <w:rFonts w:cs="Times New Roman"/>
          <w:szCs w:val="24"/>
        </w:rPr>
        <w:t>amends current law relating to pharmacy benefits provided through the Medicaid managed care program.</w:t>
      </w:r>
    </w:p>
    <w:p w:rsidR="0005511E" w:rsidRPr="004B1465" w:rsidRDefault="0005511E" w:rsidP="00D91EFB">
      <w:pPr>
        <w:spacing w:after="0" w:line="240" w:lineRule="auto"/>
        <w:jc w:val="both"/>
        <w:rPr>
          <w:rFonts w:eastAsia="Times New Roman" w:cs="Times New Roman"/>
          <w:szCs w:val="24"/>
        </w:rPr>
      </w:pPr>
    </w:p>
    <w:p w:rsidR="0005511E" w:rsidRPr="005C2A78" w:rsidRDefault="0005511E" w:rsidP="00D91EF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E6D5FF07A44C4CBA4DC5867C23AD69"/>
          </w:placeholder>
        </w:sdtPr>
        <w:sdtContent>
          <w:r>
            <w:rPr>
              <w:rFonts w:eastAsia="Times New Roman" w:cs="Times New Roman"/>
              <w:b/>
              <w:szCs w:val="24"/>
              <w:u w:val="single"/>
            </w:rPr>
            <w:t>RULEMAKING AUTHORITY</w:t>
          </w:r>
        </w:sdtContent>
      </w:sdt>
    </w:p>
    <w:p w:rsidR="0005511E" w:rsidRPr="006529C4" w:rsidRDefault="0005511E" w:rsidP="00D91EFB">
      <w:pPr>
        <w:spacing w:after="0" w:line="240" w:lineRule="auto"/>
        <w:jc w:val="both"/>
        <w:rPr>
          <w:rFonts w:cs="Times New Roman"/>
          <w:szCs w:val="24"/>
        </w:rPr>
      </w:pPr>
    </w:p>
    <w:p w:rsidR="0005511E" w:rsidRPr="006529C4" w:rsidRDefault="0005511E" w:rsidP="00D91EF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511E" w:rsidRPr="006529C4" w:rsidRDefault="0005511E" w:rsidP="00D91EFB">
      <w:pPr>
        <w:spacing w:after="0" w:line="240" w:lineRule="auto"/>
        <w:jc w:val="both"/>
        <w:rPr>
          <w:rFonts w:cs="Times New Roman"/>
          <w:szCs w:val="24"/>
        </w:rPr>
      </w:pPr>
    </w:p>
    <w:p w:rsidR="0005511E" w:rsidRPr="005C2A78" w:rsidRDefault="0005511E" w:rsidP="00D91EF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5F1A39B68541EE9AE31EF5A79D467E"/>
          </w:placeholder>
        </w:sdtPr>
        <w:sdtContent>
          <w:r>
            <w:rPr>
              <w:rFonts w:eastAsia="Times New Roman" w:cs="Times New Roman"/>
              <w:b/>
              <w:szCs w:val="24"/>
              <w:u w:val="single"/>
            </w:rPr>
            <w:t>SECTION BY SECTION ANALYSIS</w:t>
          </w:r>
        </w:sdtContent>
      </w:sdt>
    </w:p>
    <w:p w:rsidR="0005511E" w:rsidRPr="005C2A78" w:rsidRDefault="0005511E" w:rsidP="00D91EFB">
      <w:pPr>
        <w:spacing w:after="0" w:line="240" w:lineRule="auto"/>
        <w:jc w:val="both"/>
        <w:rPr>
          <w:rFonts w:eastAsia="Times New Roman" w:cs="Times New Roman"/>
          <w:szCs w:val="24"/>
        </w:rPr>
      </w:pPr>
    </w:p>
    <w:p w:rsidR="0005511E" w:rsidRDefault="0005511E" w:rsidP="00D91EF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533.005(a), Government Code, as follows: </w:t>
      </w:r>
    </w:p>
    <w:p w:rsidR="0005511E" w:rsidRDefault="0005511E" w:rsidP="00D91EFB">
      <w:pPr>
        <w:spacing w:after="0" w:line="240" w:lineRule="auto"/>
        <w:jc w:val="both"/>
        <w:rPr>
          <w:rFonts w:eastAsia="Times New Roman" w:cs="Times New Roman"/>
          <w:szCs w:val="24"/>
        </w:rPr>
      </w:pPr>
    </w:p>
    <w:p w:rsidR="0005511E" w:rsidRDefault="0005511E" w:rsidP="00D91EFB">
      <w:pPr>
        <w:spacing w:after="0" w:line="240" w:lineRule="auto"/>
        <w:ind w:left="720"/>
        <w:jc w:val="both"/>
        <w:rPr>
          <w:rFonts w:eastAsia="Times New Roman" w:cs="Times New Roman"/>
          <w:szCs w:val="24"/>
        </w:rPr>
      </w:pPr>
      <w:r>
        <w:rPr>
          <w:rFonts w:eastAsia="Times New Roman" w:cs="Times New Roman"/>
          <w:szCs w:val="24"/>
        </w:rPr>
        <w:t xml:space="preserve">(a) Requires a contract between a managed care organization and the Health and Human Services Commission (HHSC) for the organization to provide health care services to recipients to contain: </w:t>
      </w:r>
    </w:p>
    <w:p w:rsidR="0005511E" w:rsidRDefault="0005511E" w:rsidP="00D91EFB">
      <w:pPr>
        <w:spacing w:after="0" w:line="240" w:lineRule="auto"/>
        <w:jc w:val="both"/>
        <w:rPr>
          <w:rFonts w:eastAsia="Times New Roman" w:cs="Times New Roman"/>
          <w:szCs w:val="24"/>
        </w:rPr>
      </w:pPr>
    </w:p>
    <w:p w:rsidR="0005511E" w:rsidRDefault="0005511E" w:rsidP="00D91EFB">
      <w:pPr>
        <w:spacing w:after="0" w:line="240" w:lineRule="auto"/>
        <w:ind w:left="1440"/>
        <w:jc w:val="both"/>
        <w:rPr>
          <w:rFonts w:eastAsia="Times New Roman" w:cs="Times New Roman"/>
          <w:szCs w:val="24"/>
        </w:rPr>
      </w:pPr>
      <w:r>
        <w:rPr>
          <w:rFonts w:eastAsia="Times New Roman" w:cs="Times New Roman"/>
          <w:szCs w:val="24"/>
        </w:rPr>
        <w:t>(1)–(22) makes no changes to these subdivisions;</w:t>
      </w:r>
    </w:p>
    <w:p w:rsidR="0005511E" w:rsidRDefault="0005511E" w:rsidP="00D91EFB">
      <w:pPr>
        <w:spacing w:after="0" w:line="240" w:lineRule="auto"/>
        <w:ind w:left="1440"/>
        <w:jc w:val="both"/>
        <w:rPr>
          <w:rFonts w:eastAsia="Times New Roman" w:cs="Times New Roman"/>
          <w:szCs w:val="24"/>
        </w:rPr>
      </w:pPr>
    </w:p>
    <w:p w:rsidR="0005511E" w:rsidRDefault="0005511E" w:rsidP="00D91EFB">
      <w:pPr>
        <w:spacing w:after="0" w:line="240" w:lineRule="auto"/>
        <w:ind w:left="1440"/>
        <w:jc w:val="both"/>
        <w:rPr>
          <w:rFonts w:eastAsia="Times New Roman" w:cs="Times New Roman"/>
          <w:szCs w:val="24"/>
        </w:rPr>
      </w:pPr>
      <w:r>
        <w:rPr>
          <w:rFonts w:eastAsia="Times New Roman" w:cs="Times New Roman"/>
          <w:szCs w:val="24"/>
        </w:rPr>
        <w:t xml:space="preserve">(23) </w:t>
      </w:r>
      <w:r w:rsidRPr="004B1465">
        <w:rPr>
          <w:rFonts w:eastAsia="Times New Roman" w:cs="Times New Roman"/>
          <w:szCs w:val="24"/>
        </w:rPr>
        <w:t>subject to Subsection (a-1), a requirement that the managed care organization develop, implement, and maintain an outpatient pharmacy benefit plan for its enrolled recipients:</w:t>
      </w:r>
    </w:p>
    <w:p w:rsidR="0005511E" w:rsidRDefault="0005511E" w:rsidP="00D91EFB">
      <w:pPr>
        <w:spacing w:after="0" w:line="240" w:lineRule="auto"/>
        <w:ind w:left="1440"/>
        <w:jc w:val="both"/>
        <w:rPr>
          <w:rFonts w:eastAsia="Times New Roman" w:cs="Times New Roman"/>
          <w:szCs w:val="24"/>
        </w:rPr>
      </w:pPr>
    </w:p>
    <w:p w:rsidR="0005511E" w:rsidRDefault="0005511E" w:rsidP="00D91EFB">
      <w:pPr>
        <w:spacing w:after="0" w:line="240" w:lineRule="auto"/>
        <w:ind w:left="2160"/>
        <w:jc w:val="both"/>
        <w:rPr>
          <w:rFonts w:eastAsia="Times New Roman" w:cs="Times New Roman"/>
          <w:szCs w:val="24"/>
        </w:rPr>
      </w:pPr>
      <w:r>
        <w:rPr>
          <w:rFonts w:eastAsia="Times New Roman" w:cs="Times New Roman"/>
          <w:szCs w:val="24"/>
        </w:rPr>
        <w:t xml:space="preserve">(A) </w:t>
      </w:r>
      <w:r w:rsidRPr="004B1465">
        <w:rPr>
          <w:rFonts w:eastAsia="Times New Roman" w:cs="Times New Roman"/>
          <w:szCs w:val="24"/>
        </w:rPr>
        <w:t>that, except as provided by Paragraph (L)(ii), exclusively employs the vendor drug program formulary and preserves the state's ability to reduce waste, fraud, and abuse under Medicaid;</w:t>
      </w:r>
    </w:p>
    <w:p w:rsidR="0005511E" w:rsidRDefault="0005511E" w:rsidP="00D91EFB">
      <w:pPr>
        <w:spacing w:after="0" w:line="240" w:lineRule="auto"/>
        <w:ind w:left="2160"/>
        <w:jc w:val="both"/>
        <w:rPr>
          <w:rFonts w:eastAsia="Times New Roman" w:cs="Times New Roman"/>
          <w:szCs w:val="24"/>
        </w:rPr>
      </w:pPr>
    </w:p>
    <w:p w:rsidR="0005511E" w:rsidRDefault="0005511E" w:rsidP="00D91EFB">
      <w:pPr>
        <w:spacing w:after="0" w:line="240" w:lineRule="auto"/>
        <w:ind w:left="2160"/>
        <w:jc w:val="both"/>
        <w:rPr>
          <w:rFonts w:eastAsia="Times New Roman" w:cs="Times New Roman"/>
          <w:szCs w:val="24"/>
        </w:rPr>
      </w:pPr>
      <w:r>
        <w:rPr>
          <w:rFonts w:eastAsia="Times New Roman" w:cs="Times New Roman"/>
          <w:szCs w:val="24"/>
        </w:rPr>
        <w:t>(B) makes no changes to this paragraph;</w:t>
      </w:r>
    </w:p>
    <w:p w:rsidR="0005511E" w:rsidRDefault="0005511E" w:rsidP="00D91EFB">
      <w:pPr>
        <w:spacing w:after="0" w:line="240" w:lineRule="auto"/>
        <w:ind w:left="2160"/>
        <w:jc w:val="both"/>
        <w:rPr>
          <w:rFonts w:eastAsia="Times New Roman" w:cs="Times New Roman"/>
          <w:szCs w:val="24"/>
        </w:rPr>
      </w:pPr>
    </w:p>
    <w:p w:rsidR="0005511E" w:rsidRDefault="0005511E" w:rsidP="00D91EFB">
      <w:pPr>
        <w:spacing w:after="0" w:line="240" w:lineRule="auto"/>
        <w:ind w:left="2160"/>
        <w:jc w:val="both"/>
        <w:rPr>
          <w:rFonts w:eastAsia="Times New Roman" w:cs="Times New Roman"/>
          <w:szCs w:val="24"/>
        </w:rPr>
      </w:pPr>
      <w:r>
        <w:rPr>
          <w:rFonts w:eastAsia="Times New Roman" w:cs="Times New Roman"/>
          <w:szCs w:val="24"/>
        </w:rPr>
        <w:t xml:space="preserve">(C) </w:t>
      </w:r>
      <w:r w:rsidRPr="004B1465">
        <w:rPr>
          <w:rFonts w:eastAsia="Times New Roman" w:cs="Times New Roman"/>
          <w:szCs w:val="24"/>
        </w:rPr>
        <w:t>that, excep</w:t>
      </w:r>
      <w:r>
        <w:rPr>
          <w:rFonts w:eastAsia="Times New Roman" w:cs="Times New Roman"/>
          <w:szCs w:val="24"/>
        </w:rPr>
        <w:t>t as provided by Paragraph (L)(i</w:t>
      </w:r>
      <w:r w:rsidRPr="004B1465">
        <w:rPr>
          <w:rFonts w:eastAsia="Times New Roman" w:cs="Times New Roman"/>
          <w:szCs w:val="24"/>
        </w:rPr>
        <w:t>), includes the prior authorization procedures and requirements prescribed by or implemented under Sections 531.073(b)</w:t>
      </w:r>
      <w:r>
        <w:rPr>
          <w:rFonts w:eastAsia="Times New Roman" w:cs="Times New Roman"/>
          <w:szCs w:val="24"/>
        </w:rPr>
        <w:t xml:space="preserve"> (relating to prior authorization procedures)</w:t>
      </w:r>
      <w:r w:rsidRPr="004B1465">
        <w:rPr>
          <w:rFonts w:eastAsia="Times New Roman" w:cs="Times New Roman"/>
          <w:szCs w:val="24"/>
        </w:rPr>
        <w:t>, (c)</w:t>
      </w:r>
      <w:r>
        <w:rPr>
          <w:rFonts w:eastAsia="Times New Roman" w:cs="Times New Roman"/>
          <w:szCs w:val="24"/>
        </w:rPr>
        <w:t xml:space="preserve"> (relating to prescriptions prescribed before implementation of a prior authorization requirement)</w:t>
      </w:r>
      <w:r w:rsidRPr="004B1465">
        <w:rPr>
          <w:rFonts w:eastAsia="Times New Roman" w:cs="Times New Roman"/>
          <w:szCs w:val="24"/>
        </w:rPr>
        <w:t xml:space="preserve">, and (g) </w:t>
      </w:r>
      <w:r>
        <w:rPr>
          <w:rFonts w:eastAsia="Times New Roman" w:cs="Times New Roman"/>
          <w:szCs w:val="24"/>
        </w:rPr>
        <w:t>(relating to methods of submitting prior authorization)</w:t>
      </w:r>
      <w:r w:rsidRPr="004B1465">
        <w:rPr>
          <w:rFonts w:eastAsia="Times New Roman" w:cs="Times New Roman"/>
          <w:szCs w:val="24"/>
        </w:rPr>
        <w:t>;</w:t>
      </w:r>
    </w:p>
    <w:p w:rsidR="0005511E" w:rsidRDefault="0005511E" w:rsidP="00D91EFB">
      <w:pPr>
        <w:spacing w:after="0" w:line="240" w:lineRule="auto"/>
        <w:ind w:left="2160"/>
        <w:jc w:val="both"/>
        <w:rPr>
          <w:rFonts w:eastAsia="Times New Roman" w:cs="Times New Roman"/>
          <w:szCs w:val="24"/>
        </w:rPr>
      </w:pPr>
    </w:p>
    <w:p w:rsidR="0005511E" w:rsidRDefault="0005511E" w:rsidP="00D91EFB">
      <w:pPr>
        <w:spacing w:after="0" w:line="240" w:lineRule="auto"/>
        <w:ind w:left="2160"/>
        <w:jc w:val="both"/>
        <w:rPr>
          <w:rFonts w:eastAsia="Times New Roman" w:cs="Times New Roman"/>
          <w:szCs w:val="24"/>
        </w:rPr>
      </w:pPr>
      <w:r>
        <w:rPr>
          <w:rFonts w:eastAsia="Times New Roman" w:cs="Times New Roman"/>
          <w:szCs w:val="24"/>
        </w:rPr>
        <w:t>(D)-(I) makes no changes to these paragraphs;</w:t>
      </w:r>
    </w:p>
    <w:p w:rsidR="0005511E" w:rsidRDefault="0005511E" w:rsidP="00D91EFB">
      <w:pPr>
        <w:spacing w:after="0" w:line="240" w:lineRule="auto"/>
        <w:ind w:left="2160"/>
        <w:jc w:val="both"/>
        <w:rPr>
          <w:rFonts w:eastAsia="Times New Roman" w:cs="Times New Roman"/>
          <w:szCs w:val="24"/>
        </w:rPr>
      </w:pPr>
    </w:p>
    <w:p w:rsidR="0005511E" w:rsidRDefault="0005511E" w:rsidP="00D91EFB">
      <w:pPr>
        <w:spacing w:after="0" w:line="240" w:lineRule="auto"/>
        <w:ind w:left="2160"/>
        <w:jc w:val="both"/>
        <w:rPr>
          <w:rFonts w:eastAsia="Times New Roman" w:cs="Times New Roman"/>
          <w:szCs w:val="24"/>
        </w:rPr>
      </w:pPr>
      <w:r>
        <w:rPr>
          <w:rFonts w:eastAsia="Times New Roman" w:cs="Times New Roman"/>
          <w:szCs w:val="24"/>
        </w:rPr>
        <w:t>(J)-(K) makes nonsubstantive changes; and</w:t>
      </w:r>
    </w:p>
    <w:p w:rsidR="0005511E" w:rsidRDefault="0005511E" w:rsidP="00D91EFB">
      <w:pPr>
        <w:spacing w:after="0" w:line="240" w:lineRule="auto"/>
        <w:jc w:val="both"/>
        <w:rPr>
          <w:rFonts w:eastAsia="Times New Roman" w:cs="Times New Roman"/>
          <w:szCs w:val="24"/>
        </w:rPr>
      </w:pPr>
    </w:p>
    <w:p w:rsidR="0005511E" w:rsidRPr="004B1465" w:rsidRDefault="0005511E" w:rsidP="00D91EFB">
      <w:pPr>
        <w:spacing w:after="0" w:line="240" w:lineRule="auto"/>
        <w:ind w:left="2160"/>
        <w:jc w:val="both"/>
        <w:rPr>
          <w:rFonts w:eastAsia="Times New Roman" w:cs="Times New Roman"/>
          <w:szCs w:val="24"/>
        </w:rPr>
      </w:pPr>
      <w:r>
        <w:rPr>
          <w:rFonts w:eastAsia="Times New Roman" w:cs="Times New Roman"/>
          <w:szCs w:val="24"/>
        </w:rPr>
        <w:t xml:space="preserve">(L) </w:t>
      </w:r>
      <w:r w:rsidRPr="004B1465">
        <w:rPr>
          <w:rFonts w:eastAsia="Times New Roman" w:cs="Times New Roman"/>
          <w:szCs w:val="24"/>
        </w:rPr>
        <w:t>under which the managed care organization or pharmacy benefit manager, as applicable:</w:t>
      </w:r>
    </w:p>
    <w:p w:rsidR="0005511E" w:rsidRPr="004B1465" w:rsidRDefault="0005511E" w:rsidP="00D91EFB">
      <w:pPr>
        <w:spacing w:after="0" w:line="240" w:lineRule="auto"/>
        <w:ind w:left="2160"/>
        <w:jc w:val="both"/>
        <w:rPr>
          <w:rFonts w:eastAsia="Times New Roman" w:cs="Times New Roman"/>
          <w:szCs w:val="24"/>
        </w:rPr>
      </w:pPr>
    </w:p>
    <w:p w:rsidR="0005511E" w:rsidRPr="004B1465" w:rsidRDefault="0005511E" w:rsidP="00D91EFB">
      <w:pPr>
        <w:spacing w:after="0" w:line="240" w:lineRule="auto"/>
        <w:ind w:left="2880"/>
        <w:jc w:val="both"/>
        <w:rPr>
          <w:rFonts w:eastAsia="Times New Roman" w:cs="Times New Roman"/>
          <w:szCs w:val="24"/>
        </w:rPr>
      </w:pPr>
      <w:r>
        <w:rPr>
          <w:rFonts w:eastAsia="Times New Roman" w:cs="Times New Roman"/>
          <w:szCs w:val="24"/>
        </w:rPr>
        <w:t>(i) is prohibited from requiring</w:t>
      </w:r>
      <w:r w:rsidRPr="004B1465">
        <w:rPr>
          <w:rFonts w:eastAsia="Times New Roman" w:cs="Times New Roman"/>
          <w:szCs w:val="24"/>
        </w:rPr>
        <w:t xml:space="preserve"> a prior authorization, other than a clinical pr</w:t>
      </w:r>
      <w:r>
        <w:rPr>
          <w:rFonts w:eastAsia="Times New Roman" w:cs="Times New Roman"/>
          <w:szCs w:val="24"/>
        </w:rPr>
        <w:t>ior authorization, for or imposing</w:t>
      </w:r>
      <w:r w:rsidRPr="004B1465">
        <w:rPr>
          <w:rFonts w:eastAsia="Times New Roman" w:cs="Times New Roman"/>
          <w:szCs w:val="24"/>
        </w:rPr>
        <w:t xml:space="preserve"> any other barriers to a drug that is prescribed to a medically fragile child for a particular disease or treatment and that is on the vendor drug program formulary, regardless of whether the drug is included in the preferred drug list adopted under Section 531.072</w:t>
      </w:r>
      <w:r>
        <w:rPr>
          <w:rFonts w:eastAsia="Times New Roman" w:cs="Times New Roman"/>
          <w:szCs w:val="24"/>
        </w:rPr>
        <w:t xml:space="preserve"> (Preferred Drug Lists)</w:t>
      </w:r>
      <w:r w:rsidRPr="004B1465">
        <w:rPr>
          <w:rFonts w:eastAsia="Times New Roman" w:cs="Times New Roman"/>
          <w:szCs w:val="24"/>
        </w:rPr>
        <w:t>;</w:t>
      </w:r>
    </w:p>
    <w:p w:rsidR="0005511E" w:rsidRPr="004B1465" w:rsidRDefault="0005511E" w:rsidP="00D91EFB">
      <w:pPr>
        <w:spacing w:after="0" w:line="240" w:lineRule="auto"/>
        <w:ind w:left="2880"/>
        <w:jc w:val="both"/>
        <w:rPr>
          <w:rFonts w:eastAsia="Times New Roman" w:cs="Times New Roman"/>
          <w:szCs w:val="24"/>
        </w:rPr>
      </w:pPr>
    </w:p>
    <w:p w:rsidR="0005511E" w:rsidRPr="004B1465" w:rsidRDefault="0005511E" w:rsidP="00D91EFB">
      <w:pPr>
        <w:spacing w:after="0" w:line="240" w:lineRule="auto"/>
        <w:ind w:left="2880"/>
        <w:jc w:val="both"/>
        <w:rPr>
          <w:rFonts w:eastAsia="Times New Roman" w:cs="Times New Roman"/>
          <w:szCs w:val="24"/>
        </w:rPr>
      </w:pPr>
      <w:r>
        <w:rPr>
          <w:rFonts w:eastAsia="Times New Roman" w:cs="Times New Roman"/>
          <w:szCs w:val="24"/>
        </w:rPr>
        <w:t>(ii) is required to</w:t>
      </w:r>
      <w:r w:rsidRPr="004B1465">
        <w:rPr>
          <w:rFonts w:eastAsia="Times New Roman" w:cs="Times New Roman"/>
          <w:szCs w:val="24"/>
        </w:rPr>
        <w:t xml:space="preserve">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05511E" w:rsidRPr="004B1465" w:rsidRDefault="0005511E" w:rsidP="00D91EFB">
      <w:pPr>
        <w:spacing w:after="0" w:line="240" w:lineRule="auto"/>
        <w:ind w:left="2880"/>
        <w:jc w:val="both"/>
        <w:rPr>
          <w:rFonts w:eastAsia="Times New Roman" w:cs="Times New Roman"/>
          <w:szCs w:val="24"/>
        </w:rPr>
      </w:pPr>
    </w:p>
    <w:p w:rsidR="0005511E" w:rsidRPr="004B1465" w:rsidRDefault="0005511E" w:rsidP="00D91EFB">
      <w:pPr>
        <w:spacing w:after="0" w:line="240" w:lineRule="auto"/>
        <w:ind w:left="2880"/>
        <w:jc w:val="both"/>
        <w:rPr>
          <w:rFonts w:eastAsia="Times New Roman" w:cs="Times New Roman"/>
          <w:szCs w:val="24"/>
        </w:rPr>
      </w:pPr>
      <w:r>
        <w:rPr>
          <w:rFonts w:eastAsia="Times New Roman" w:cs="Times New Roman"/>
          <w:szCs w:val="24"/>
        </w:rPr>
        <w:t>(iii) is prohibited from using</w:t>
      </w:r>
      <w:r w:rsidRPr="004B1465">
        <w:rPr>
          <w:rFonts w:eastAsia="Times New Roman" w:cs="Times New Roman"/>
          <w:szCs w:val="24"/>
        </w:rPr>
        <w:t xml:space="preserv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05511E" w:rsidRPr="004B1465" w:rsidRDefault="0005511E" w:rsidP="00D91EFB">
      <w:pPr>
        <w:spacing w:after="0" w:line="240" w:lineRule="auto"/>
        <w:ind w:left="2880"/>
        <w:jc w:val="both"/>
        <w:rPr>
          <w:rFonts w:eastAsia="Times New Roman" w:cs="Times New Roman"/>
          <w:szCs w:val="24"/>
        </w:rPr>
      </w:pPr>
    </w:p>
    <w:p w:rsidR="0005511E" w:rsidRDefault="0005511E" w:rsidP="00D91EFB">
      <w:pPr>
        <w:spacing w:after="0" w:line="240" w:lineRule="auto"/>
        <w:ind w:left="2880"/>
        <w:jc w:val="both"/>
        <w:rPr>
          <w:rFonts w:eastAsia="Times New Roman" w:cs="Times New Roman"/>
          <w:szCs w:val="24"/>
        </w:rPr>
      </w:pPr>
      <w:r>
        <w:rPr>
          <w:rFonts w:eastAsia="Times New Roman" w:cs="Times New Roman"/>
          <w:szCs w:val="24"/>
        </w:rPr>
        <w:t>(iv)</w:t>
      </w:r>
      <w:r w:rsidRPr="004B1465">
        <w:rPr>
          <w:rFonts w:eastAsia="Times New Roman" w:cs="Times New Roman"/>
          <w:szCs w:val="24"/>
        </w:rPr>
        <w:t xml:space="preserve"> </w:t>
      </w:r>
      <w:r>
        <w:rPr>
          <w:rFonts w:eastAsia="Times New Roman" w:cs="Times New Roman"/>
          <w:szCs w:val="24"/>
        </w:rPr>
        <w:t>is required to</w:t>
      </w:r>
      <w:r w:rsidRPr="004B1465">
        <w:rPr>
          <w:rFonts w:eastAsia="Times New Roman" w:cs="Times New Roman"/>
          <w:szCs w:val="24"/>
        </w:rPr>
        <w:t xml:space="preserve"> pay liquidated damages to </w:t>
      </w:r>
      <w:r>
        <w:rPr>
          <w:rFonts w:eastAsia="Times New Roman" w:cs="Times New Roman"/>
          <w:szCs w:val="24"/>
        </w:rPr>
        <w:t>HHSC</w:t>
      </w:r>
      <w:r w:rsidRPr="004B1465">
        <w:rPr>
          <w:rFonts w:eastAsia="Times New Roman" w:cs="Times New Roman"/>
          <w:szCs w:val="24"/>
        </w:rPr>
        <w:t xml:space="preserve"> for each failure, as determined by </w:t>
      </w:r>
      <w:r>
        <w:rPr>
          <w:rFonts w:eastAsia="Times New Roman" w:cs="Times New Roman"/>
          <w:szCs w:val="24"/>
        </w:rPr>
        <w:t>HHSC</w:t>
      </w:r>
      <w:r w:rsidRPr="004B1465">
        <w:rPr>
          <w:rFonts w:eastAsia="Times New Roman" w:cs="Times New Roman"/>
          <w:szCs w:val="24"/>
        </w:rPr>
        <w:t>, to comply with this paragraph in an amount that is a reasonable forecast of the damages caused by the noncompliance;</w:t>
      </w:r>
    </w:p>
    <w:p w:rsidR="0005511E" w:rsidRDefault="0005511E" w:rsidP="00D91EFB">
      <w:pPr>
        <w:spacing w:after="0" w:line="240" w:lineRule="auto"/>
        <w:ind w:left="2880"/>
        <w:jc w:val="both"/>
        <w:rPr>
          <w:rFonts w:eastAsia="Times New Roman" w:cs="Times New Roman"/>
          <w:szCs w:val="24"/>
        </w:rPr>
      </w:pPr>
    </w:p>
    <w:p w:rsidR="0005511E" w:rsidRDefault="0005511E" w:rsidP="00D91EFB">
      <w:pPr>
        <w:spacing w:after="0" w:line="240" w:lineRule="auto"/>
        <w:ind w:left="1440"/>
        <w:jc w:val="both"/>
        <w:rPr>
          <w:rFonts w:eastAsia="Times New Roman" w:cs="Times New Roman"/>
          <w:szCs w:val="24"/>
        </w:rPr>
      </w:pPr>
      <w:r>
        <w:rPr>
          <w:rFonts w:eastAsia="Times New Roman" w:cs="Times New Roman"/>
          <w:szCs w:val="24"/>
        </w:rPr>
        <w:t xml:space="preserve">(24) makes no changes to this subdivision; </w:t>
      </w:r>
    </w:p>
    <w:p w:rsidR="0005511E" w:rsidRDefault="0005511E" w:rsidP="00D91EFB">
      <w:pPr>
        <w:spacing w:after="0" w:line="240" w:lineRule="auto"/>
        <w:ind w:left="1440"/>
        <w:jc w:val="both"/>
        <w:rPr>
          <w:rFonts w:eastAsia="Times New Roman" w:cs="Times New Roman"/>
          <w:szCs w:val="24"/>
        </w:rPr>
      </w:pPr>
    </w:p>
    <w:p w:rsidR="0005511E" w:rsidRDefault="0005511E" w:rsidP="00D91EFB">
      <w:pPr>
        <w:spacing w:after="0" w:line="240" w:lineRule="auto"/>
        <w:ind w:left="1440"/>
        <w:jc w:val="both"/>
        <w:rPr>
          <w:rFonts w:eastAsia="Times New Roman" w:cs="Times New Roman"/>
          <w:szCs w:val="24"/>
        </w:rPr>
      </w:pPr>
      <w:r>
        <w:rPr>
          <w:rFonts w:eastAsia="Times New Roman" w:cs="Times New Roman"/>
          <w:szCs w:val="24"/>
        </w:rPr>
        <w:t xml:space="preserve">(25) makes a nonsubstantive change; and </w:t>
      </w:r>
    </w:p>
    <w:p w:rsidR="0005511E" w:rsidRDefault="0005511E" w:rsidP="00D91EFB">
      <w:pPr>
        <w:spacing w:after="0" w:line="240" w:lineRule="auto"/>
        <w:ind w:left="1440"/>
        <w:jc w:val="both"/>
        <w:rPr>
          <w:rFonts w:eastAsia="Times New Roman" w:cs="Times New Roman"/>
          <w:szCs w:val="24"/>
        </w:rPr>
      </w:pPr>
    </w:p>
    <w:p w:rsidR="0005511E" w:rsidRPr="005C2A78" w:rsidRDefault="0005511E" w:rsidP="00D91EFB">
      <w:pPr>
        <w:spacing w:after="0" w:line="240" w:lineRule="auto"/>
        <w:ind w:left="1440"/>
        <w:jc w:val="both"/>
        <w:rPr>
          <w:rFonts w:eastAsia="Times New Roman" w:cs="Times New Roman"/>
          <w:szCs w:val="24"/>
        </w:rPr>
      </w:pPr>
      <w:r>
        <w:rPr>
          <w:rFonts w:eastAsia="Times New Roman" w:cs="Times New Roman"/>
          <w:szCs w:val="24"/>
        </w:rPr>
        <w:t xml:space="preserve">(26) makes no changes to this subdivision. </w:t>
      </w:r>
    </w:p>
    <w:p w:rsidR="0005511E" w:rsidRPr="005C2A78" w:rsidRDefault="0005511E" w:rsidP="00D91EFB">
      <w:pPr>
        <w:spacing w:after="0" w:line="240" w:lineRule="auto"/>
        <w:jc w:val="both"/>
        <w:rPr>
          <w:rFonts w:eastAsia="Times New Roman" w:cs="Times New Roman"/>
          <w:szCs w:val="24"/>
        </w:rPr>
      </w:pPr>
    </w:p>
    <w:p w:rsidR="0005511E" w:rsidRDefault="0005511E" w:rsidP="00D91EF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4B1465">
        <w:rPr>
          <w:rFonts w:eastAsia="Times New Roman" w:cs="Times New Roman"/>
          <w:szCs w:val="24"/>
        </w:rPr>
        <w:t xml:space="preserve">Section 533.005, Government Code, as amended by this Act, </w:t>
      </w:r>
      <w:r>
        <w:rPr>
          <w:rFonts w:eastAsia="Times New Roman" w:cs="Times New Roman"/>
          <w:szCs w:val="24"/>
        </w:rPr>
        <w:t xml:space="preserve">prospective. </w:t>
      </w:r>
    </w:p>
    <w:p w:rsidR="0005511E" w:rsidRPr="005C2A78" w:rsidRDefault="0005511E" w:rsidP="00D91EFB">
      <w:pPr>
        <w:spacing w:after="0" w:line="240" w:lineRule="auto"/>
        <w:jc w:val="both"/>
        <w:rPr>
          <w:rFonts w:eastAsia="Times New Roman" w:cs="Times New Roman"/>
          <w:szCs w:val="24"/>
        </w:rPr>
      </w:pPr>
    </w:p>
    <w:p w:rsidR="0005511E" w:rsidRDefault="0005511E" w:rsidP="00D91EF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a state agency affected by the provision, if before implementing any provision of this Act the state agency determines that a waiver or authorization from a federal agency is necessary for implementation of that provision, to request the waiver or authorization and authorizes the agency to delay implementing that provision until the waiver or authorization is granted. </w:t>
      </w:r>
    </w:p>
    <w:p w:rsidR="0005511E" w:rsidRDefault="0005511E" w:rsidP="00D91EFB">
      <w:pPr>
        <w:spacing w:after="0" w:line="240" w:lineRule="auto"/>
        <w:jc w:val="both"/>
        <w:rPr>
          <w:rFonts w:eastAsia="Times New Roman" w:cs="Times New Roman"/>
          <w:szCs w:val="24"/>
        </w:rPr>
      </w:pPr>
    </w:p>
    <w:p w:rsidR="0005511E" w:rsidRPr="00C8671F" w:rsidRDefault="0005511E" w:rsidP="00D91EFB">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05511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A" w:rsidRDefault="00AF64DA" w:rsidP="000F1DF9">
      <w:pPr>
        <w:spacing w:after="0" w:line="240" w:lineRule="auto"/>
      </w:pPr>
      <w:r>
        <w:separator/>
      </w:r>
    </w:p>
  </w:endnote>
  <w:endnote w:type="continuationSeparator" w:id="0">
    <w:p w:rsidR="00AF64DA" w:rsidRDefault="00AF64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64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511E">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511E">
                <w:rPr>
                  <w:sz w:val="20"/>
                  <w:szCs w:val="20"/>
                </w:rPr>
                <w:t>S.B. 1096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511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64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51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511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A" w:rsidRDefault="00AF64DA" w:rsidP="000F1DF9">
      <w:pPr>
        <w:spacing w:after="0" w:line="240" w:lineRule="auto"/>
      </w:pPr>
      <w:r>
        <w:separator/>
      </w:r>
    </w:p>
  </w:footnote>
  <w:footnote w:type="continuationSeparator" w:id="0">
    <w:p w:rsidR="00AF64DA" w:rsidRDefault="00AF64D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511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64DA"/>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F479D"/>
  <w15:docId w15:val="{F75757D2-CCE0-48CC-9087-B68C5590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51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1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3B7D" w:rsidP="00FA3B7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5988958BD34291964379DFE04B4429"/>
        <w:category>
          <w:name w:val="General"/>
          <w:gallery w:val="placeholder"/>
        </w:category>
        <w:types>
          <w:type w:val="bbPlcHdr"/>
        </w:types>
        <w:behaviors>
          <w:behavior w:val="content"/>
        </w:behaviors>
        <w:guid w:val="{932B51DB-F4D6-416C-ABF1-9C248D85C5C8}"/>
      </w:docPartPr>
      <w:docPartBody>
        <w:p w:rsidR="00000000" w:rsidRDefault="00BA7EF1"/>
      </w:docPartBody>
    </w:docPart>
    <w:docPart>
      <w:docPartPr>
        <w:name w:val="B244229EF02E4C36814657D83B81AAEF"/>
        <w:category>
          <w:name w:val="General"/>
          <w:gallery w:val="placeholder"/>
        </w:category>
        <w:types>
          <w:type w:val="bbPlcHdr"/>
        </w:types>
        <w:behaviors>
          <w:behavior w:val="content"/>
        </w:behaviors>
        <w:guid w:val="{C6C0153B-4D5E-4679-BC9A-D1C8A206ABF6}"/>
      </w:docPartPr>
      <w:docPartBody>
        <w:p w:rsidR="00000000" w:rsidRDefault="00BA7EF1"/>
      </w:docPartBody>
    </w:docPart>
    <w:docPart>
      <w:docPartPr>
        <w:name w:val="DC2B0412CEAC40998190918EB0C4B88D"/>
        <w:category>
          <w:name w:val="General"/>
          <w:gallery w:val="placeholder"/>
        </w:category>
        <w:types>
          <w:type w:val="bbPlcHdr"/>
        </w:types>
        <w:behaviors>
          <w:behavior w:val="content"/>
        </w:behaviors>
        <w:guid w:val="{FA0850CC-3C35-4FF3-8315-83B1378C6BAB}"/>
      </w:docPartPr>
      <w:docPartBody>
        <w:p w:rsidR="00000000" w:rsidRDefault="00BA7EF1"/>
      </w:docPartBody>
    </w:docPart>
    <w:docPart>
      <w:docPartPr>
        <w:name w:val="3E79DE7D5BA24CCFA353F83155B51F40"/>
        <w:category>
          <w:name w:val="General"/>
          <w:gallery w:val="placeholder"/>
        </w:category>
        <w:types>
          <w:type w:val="bbPlcHdr"/>
        </w:types>
        <w:behaviors>
          <w:behavior w:val="content"/>
        </w:behaviors>
        <w:guid w:val="{A80E6A74-7A46-41E3-AA19-6377D6A6918E}"/>
      </w:docPartPr>
      <w:docPartBody>
        <w:p w:rsidR="00000000" w:rsidRDefault="00BA7EF1"/>
      </w:docPartBody>
    </w:docPart>
    <w:docPart>
      <w:docPartPr>
        <w:name w:val="5EC0610A88714507B4B1B4FEB74352CD"/>
        <w:category>
          <w:name w:val="General"/>
          <w:gallery w:val="placeholder"/>
        </w:category>
        <w:types>
          <w:type w:val="bbPlcHdr"/>
        </w:types>
        <w:behaviors>
          <w:behavior w:val="content"/>
        </w:behaviors>
        <w:guid w:val="{1069CCD7-DDAB-43F5-8A23-02459F6AE923}"/>
      </w:docPartPr>
      <w:docPartBody>
        <w:p w:rsidR="00000000" w:rsidRDefault="00BA7EF1"/>
      </w:docPartBody>
    </w:docPart>
    <w:docPart>
      <w:docPartPr>
        <w:name w:val="F4C0D393D60E4A3F80E52A0F054E147B"/>
        <w:category>
          <w:name w:val="General"/>
          <w:gallery w:val="placeholder"/>
        </w:category>
        <w:types>
          <w:type w:val="bbPlcHdr"/>
        </w:types>
        <w:behaviors>
          <w:behavior w:val="content"/>
        </w:behaviors>
        <w:guid w:val="{F142A094-67E2-47E3-A8C0-D16778498FCE}"/>
      </w:docPartPr>
      <w:docPartBody>
        <w:p w:rsidR="00000000" w:rsidRDefault="00BA7EF1"/>
      </w:docPartBody>
    </w:docPart>
    <w:docPart>
      <w:docPartPr>
        <w:name w:val="7062DA914FE64DC8AB83A3B345559200"/>
        <w:category>
          <w:name w:val="General"/>
          <w:gallery w:val="placeholder"/>
        </w:category>
        <w:types>
          <w:type w:val="bbPlcHdr"/>
        </w:types>
        <w:behaviors>
          <w:behavior w:val="content"/>
        </w:behaviors>
        <w:guid w:val="{0BB48B1B-EFC4-4985-BD6A-E719DD2A6C8B}"/>
      </w:docPartPr>
      <w:docPartBody>
        <w:p w:rsidR="00000000" w:rsidRDefault="00BA7EF1"/>
      </w:docPartBody>
    </w:docPart>
    <w:docPart>
      <w:docPartPr>
        <w:name w:val="6593DB2CA6E648F7BDEC88DD66A8288A"/>
        <w:category>
          <w:name w:val="General"/>
          <w:gallery w:val="placeholder"/>
        </w:category>
        <w:types>
          <w:type w:val="bbPlcHdr"/>
        </w:types>
        <w:behaviors>
          <w:behavior w:val="content"/>
        </w:behaviors>
        <w:guid w:val="{0711E935-0270-4EAE-AFDD-05104158BB10}"/>
      </w:docPartPr>
      <w:docPartBody>
        <w:p w:rsidR="00000000" w:rsidRDefault="00BA7EF1"/>
      </w:docPartBody>
    </w:docPart>
    <w:docPart>
      <w:docPartPr>
        <w:name w:val="76B3627C0A7B4676B8CF87F9FC759574"/>
        <w:category>
          <w:name w:val="General"/>
          <w:gallery w:val="placeholder"/>
        </w:category>
        <w:types>
          <w:type w:val="bbPlcHdr"/>
        </w:types>
        <w:behaviors>
          <w:behavior w:val="content"/>
        </w:behaviors>
        <w:guid w:val="{076FCEEC-901E-4B01-8C57-9E15A85FF935}"/>
      </w:docPartPr>
      <w:docPartBody>
        <w:p w:rsidR="00000000" w:rsidRDefault="00FA3B7D" w:rsidP="00FA3B7D">
          <w:pPr>
            <w:pStyle w:val="76B3627C0A7B4676B8CF87F9FC759574"/>
          </w:pPr>
          <w:r w:rsidRPr="00A30DD1">
            <w:rPr>
              <w:rStyle w:val="PlaceholderText"/>
            </w:rPr>
            <w:t>Click here to enter a date.</w:t>
          </w:r>
        </w:p>
      </w:docPartBody>
    </w:docPart>
    <w:docPart>
      <w:docPartPr>
        <w:name w:val="B00E3AAA43B4441A84888D372F56343F"/>
        <w:category>
          <w:name w:val="General"/>
          <w:gallery w:val="placeholder"/>
        </w:category>
        <w:types>
          <w:type w:val="bbPlcHdr"/>
        </w:types>
        <w:behaviors>
          <w:behavior w:val="content"/>
        </w:behaviors>
        <w:guid w:val="{8F5D200A-E6FD-4ADE-B0D5-D71F45288591}"/>
      </w:docPartPr>
      <w:docPartBody>
        <w:p w:rsidR="00000000" w:rsidRDefault="00BA7EF1"/>
      </w:docPartBody>
    </w:docPart>
    <w:docPart>
      <w:docPartPr>
        <w:name w:val="A7BE3B0EE9C140CA95C9B0EAE01AD50C"/>
        <w:category>
          <w:name w:val="General"/>
          <w:gallery w:val="placeholder"/>
        </w:category>
        <w:types>
          <w:type w:val="bbPlcHdr"/>
        </w:types>
        <w:behaviors>
          <w:behavior w:val="content"/>
        </w:behaviors>
        <w:guid w:val="{5CD3A196-8EEB-485E-ADB1-D6954D892167}"/>
      </w:docPartPr>
      <w:docPartBody>
        <w:p w:rsidR="00000000" w:rsidRDefault="00BA7EF1"/>
      </w:docPartBody>
    </w:docPart>
    <w:docPart>
      <w:docPartPr>
        <w:name w:val="CB1B616B99A043D3997BCF6DD9D9F640"/>
        <w:category>
          <w:name w:val="General"/>
          <w:gallery w:val="placeholder"/>
        </w:category>
        <w:types>
          <w:type w:val="bbPlcHdr"/>
        </w:types>
        <w:behaviors>
          <w:behavior w:val="content"/>
        </w:behaviors>
        <w:guid w:val="{D1C2D5DD-C166-4617-B22F-5B017EB90BBB}"/>
      </w:docPartPr>
      <w:docPartBody>
        <w:p w:rsidR="00000000" w:rsidRDefault="00FA3B7D" w:rsidP="00FA3B7D">
          <w:pPr>
            <w:pStyle w:val="CB1B616B99A043D3997BCF6DD9D9F640"/>
          </w:pPr>
          <w:r>
            <w:rPr>
              <w:rFonts w:eastAsia="Times New Roman" w:cs="Times New Roman"/>
              <w:bCs/>
              <w:szCs w:val="24"/>
            </w:rPr>
            <w:t xml:space="preserve"> </w:t>
          </w:r>
        </w:p>
      </w:docPartBody>
    </w:docPart>
    <w:docPart>
      <w:docPartPr>
        <w:name w:val="8CE6D5FF07A44C4CBA4DC5867C23AD69"/>
        <w:category>
          <w:name w:val="General"/>
          <w:gallery w:val="placeholder"/>
        </w:category>
        <w:types>
          <w:type w:val="bbPlcHdr"/>
        </w:types>
        <w:behaviors>
          <w:behavior w:val="content"/>
        </w:behaviors>
        <w:guid w:val="{F1D7C5CC-5403-4C50-842B-35BC789268A0}"/>
      </w:docPartPr>
      <w:docPartBody>
        <w:p w:rsidR="00000000" w:rsidRDefault="00BA7EF1"/>
      </w:docPartBody>
    </w:docPart>
    <w:docPart>
      <w:docPartPr>
        <w:name w:val="3F5F1A39B68541EE9AE31EF5A79D467E"/>
        <w:category>
          <w:name w:val="General"/>
          <w:gallery w:val="placeholder"/>
        </w:category>
        <w:types>
          <w:type w:val="bbPlcHdr"/>
        </w:types>
        <w:behaviors>
          <w:behavior w:val="content"/>
        </w:behaviors>
        <w:guid w:val="{E4A39FCD-A16B-4687-A289-55DEFF26423A}"/>
      </w:docPartPr>
      <w:docPartBody>
        <w:p w:rsidR="00000000" w:rsidRDefault="00BA7E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7EF1"/>
    <w:rsid w:val="00C129E8"/>
    <w:rsid w:val="00C968BA"/>
    <w:rsid w:val="00D63E87"/>
    <w:rsid w:val="00D705C9"/>
    <w:rsid w:val="00E11D0C"/>
    <w:rsid w:val="00E35A8C"/>
    <w:rsid w:val="00E65C8A"/>
    <w:rsid w:val="00FA3B7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B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A3B7D"/>
    <w:rPr>
      <w:rFonts w:ascii="Times New Roman" w:hAnsi="Times New Roman"/>
      <w:sz w:val="24"/>
    </w:rPr>
  </w:style>
  <w:style w:type="paragraph" w:customStyle="1" w:styleId="487D89B4F8B34DB4967D41FE18F7F88D9">
    <w:name w:val="487D89B4F8B34DB4967D41FE18F7F88D9"/>
    <w:rsid w:val="00FA3B7D"/>
    <w:rPr>
      <w:rFonts w:ascii="Times New Roman" w:hAnsi="Times New Roman"/>
      <w:sz w:val="24"/>
    </w:rPr>
  </w:style>
  <w:style w:type="paragraph" w:customStyle="1" w:styleId="AE2570ED5D764CD7AF9686706F550F4622">
    <w:name w:val="AE2570ED5D764CD7AF9686706F550F4622"/>
    <w:rsid w:val="00FA3B7D"/>
    <w:pPr>
      <w:tabs>
        <w:tab w:val="center" w:pos="4680"/>
        <w:tab w:val="right" w:pos="9360"/>
      </w:tabs>
      <w:spacing w:after="0" w:line="240" w:lineRule="auto"/>
    </w:pPr>
    <w:rPr>
      <w:rFonts w:ascii="Times New Roman" w:hAnsi="Times New Roman"/>
      <w:sz w:val="24"/>
    </w:rPr>
  </w:style>
  <w:style w:type="paragraph" w:customStyle="1" w:styleId="76B3627C0A7B4676B8CF87F9FC759574">
    <w:name w:val="76B3627C0A7B4676B8CF87F9FC759574"/>
    <w:rsid w:val="00FA3B7D"/>
    <w:pPr>
      <w:spacing w:after="160" w:line="259" w:lineRule="auto"/>
    </w:pPr>
  </w:style>
  <w:style w:type="paragraph" w:customStyle="1" w:styleId="CB1B616B99A043D3997BCF6DD9D9F640">
    <w:name w:val="CB1B616B99A043D3997BCF6DD9D9F640"/>
    <w:rsid w:val="00FA3B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DB669B-B883-4773-A53F-9C13ED4C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822</Words>
  <Characters>4687</Characters>
  <Application>Microsoft Office Word</Application>
  <DocSecurity>0</DocSecurity>
  <Lines>39</Lines>
  <Paragraphs>10</Paragraphs>
  <ScaleCrop>false</ScaleCrop>
  <Company>Texas Legislative Council</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2019-03-14T16:52:00Z</dcterms:modified>
</cp:coreProperties>
</file>

<file path=docProps/custom.xml><?xml version="1.0" encoding="utf-8"?>
<op:Properties xmlns:vt="http://schemas.openxmlformats.org/officeDocument/2006/docPropsVTypes" xmlns:op="http://schemas.openxmlformats.org/officeDocument/2006/custom-properties"/>
</file>