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53F2B" w:rsidTr="00345119">
        <w:tc>
          <w:tcPr>
            <w:tcW w:w="9576" w:type="dxa"/>
            <w:noWrap/>
          </w:tcPr>
          <w:p w:rsidR="008423E4" w:rsidRPr="0022177D" w:rsidRDefault="00C275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7569" w:rsidP="008423E4">
      <w:pPr>
        <w:jc w:val="center"/>
      </w:pPr>
    </w:p>
    <w:p w:rsidR="008423E4" w:rsidRPr="00B31F0E" w:rsidRDefault="00C27569" w:rsidP="008423E4"/>
    <w:p w:rsidR="008423E4" w:rsidRPr="00742794" w:rsidRDefault="00C275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3F2B" w:rsidTr="00345119">
        <w:tc>
          <w:tcPr>
            <w:tcW w:w="9576" w:type="dxa"/>
          </w:tcPr>
          <w:p w:rsidR="008423E4" w:rsidRPr="00861995" w:rsidRDefault="00C27569" w:rsidP="00345119">
            <w:pPr>
              <w:jc w:val="right"/>
            </w:pPr>
            <w:r>
              <w:t>C.S.S.B. 1101</w:t>
            </w:r>
          </w:p>
        </w:tc>
      </w:tr>
      <w:tr w:rsidR="00153F2B" w:rsidTr="00345119">
        <w:tc>
          <w:tcPr>
            <w:tcW w:w="9576" w:type="dxa"/>
          </w:tcPr>
          <w:p w:rsidR="008423E4" w:rsidRPr="00861995" w:rsidRDefault="00C27569" w:rsidP="006764CE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153F2B" w:rsidTr="00345119">
        <w:tc>
          <w:tcPr>
            <w:tcW w:w="9576" w:type="dxa"/>
          </w:tcPr>
          <w:p w:rsidR="008423E4" w:rsidRPr="00861995" w:rsidRDefault="00C27569" w:rsidP="00345119">
            <w:pPr>
              <w:jc w:val="right"/>
            </w:pPr>
            <w:r>
              <w:t>Human Services</w:t>
            </w:r>
          </w:p>
        </w:tc>
      </w:tr>
      <w:tr w:rsidR="00153F2B" w:rsidTr="00345119">
        <w:tc>
          <w:tcPr>
            <w:tcW w:w="9576" w:type="dxa"/>
          </w:tcPr>
          <w:p w:rsidR="008423E4" w:rsidRDefault="00C2756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7569" w:rsidP="008423E4">
      <w:pPr>
        <w:tabs>
          <w:tab w:val="right" w:pos="9360"/>
        </w:tabs>
      </w:pPr>
    </w:p>
    <w:p w:rsidR="008423E4" w:rsidRDefault="00C27569" w:rsidP="008423E4"/>
    <w:p w:rsidR="008423E4" w:rsidRDefault="00C275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53F2B" w:rsidTr="00345119">
        <w:tc>
          <w:tcPr>
            <w:tcW w:w="9576" w:type="dxa"/>
          </w:tcPr>
          <w:p w:rsidR="008423E4" w:rsidRPr="00A8133F" w:rsidRDefault="00C27569" w:rsidP="006350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7569" w:rsidP="006350FB"/>
          <w:p w:rsidR="008423E4" w:rsidRDefault="00C27569" w:rsidP="006350FB">
            <w:pPr>
              <w:pStyle w:val="Header"/>
              <w:jc w:val="both"/>
            </w:pPr>
            <w:r>
              <w:t xml:space="preserve">S.B. 200, </w:t>
            </w:r>
            <w:r>
              <w:t xml:space="preserve">enacted by the </w:t>
            </w:r>
            <w:r>
              <w:t>84</w:t>
            </w:r>
            <w:r>
              <w:t xml:space="preserve">th Legislature, </w:t>
            </w:r>
            <w:r>
              <w:t>R</w:t>
            </w:r>
            <w:r>
              <w:t>egular Session</w:t>
            </w:r>
            <w:r>
              <w:t>,</w:t>
            </w:r>
            <w:r>
              <w:t xml:space="preserve"> 2015, provided for the consolidation of the state's </w:t>
            </w:r>
            <w:r>
              <w:t xml:space="preserve">health </w:t>
            </w:r>
            <w:r>
              <w:t xml:space="preserve">and </w:t>
            </w:r>
            <w:r>
              <w:t xml:space="preserve">human services </w:t>
            </w:r>
            <w:r>
              <w:t>system. As part of that consolidation, S.B. 200 established the office of the ombudsman for the Health and Human Services Commission (HHSC) and abolished various other ombudsman offices within that system.</w:t>
            </w:r>
            <w:r>
              <w:t xml:space="preserve"> </w:t>
            </w:r>
            <w:r>
              <w:t>C.S.</w:t>
            </w:r>
            <w:r>
              <w:t xml:space="preserve">S.B. 1101 seeks to provide for </w:t>
            </w:r>
            <w:r>
              <w:t>a consolidation of the remaining ombudsman programs operated by HHSC within the office of the ombudsman for HHSC.</w:t>
            </w:r>
          </w:p>
          <w:p w:rsidR="008423E4" w:rsidRPr="00E26B13" w:rsidRDefault="00C27569" w:rsidP="006350FB">
            <w:pPr>
              <w:rPr>
                <w:b/>
              </w:rPr>
            </w:pPr>
          </w:p>
        </w:tc>
      </w:tr>
      <w:tr w:rsidR="00153F2B" w:rsidTr="00345119">
        <w:tc>
          <w:tcPr>
            <w:tcW w:w="9576" w:type="dxa"/>
          </w:tcPr>
          <w:p w:rsidR="0017725B" w:rsidRDefault="00C27569" w:rsidP="006350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7569" w:rsidP="006350FB">
            <w:pPr>
              <w:rPr>
                <w:b/>
                <w:u w:val="single"/>
              </w:rPr>
            </w:pPr>
          </w:p>
          <w:p w:rsidR="009255A4" w:rsidRPr="009255A4" w:rsidRDefault="00C27569" w:rsidP="006350FB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C27569" w:rsidP="006350FB">
            <w:pPr>
              <w:rPr>
                <w:b/>
                <w:u w:val="single"/>
              </w:rPr>
            </w:pPr>
          </w:p>
        </w:tc>
      </w:tr>
      <w:tr w:rsidR="00153F2B" w:rsidTr="00345119">
        <w:tc>
          <w:tcPr>
            <w:tcW w:w="9576" w:type="dxa"/>
          </w:tcPr>
          <w:p w:rsidR="008423E4" w:rsidRPr="00A8133F" w:rsidRDefault="00C27569" w:rsidP="006350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7569" w:rsidP="006350FB"/>
          <w:p w:rsidR="009255A4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27569" w:rsidP="006350FB">
            <w:pPr>
              <w:rPr>
                <w:b/>
              </w:rPr>
            </w:pPr>
          </w:p>
        </w:tc>
      </w:tr>
      <w:tr w:rsidR="00153F2B" w:rsidTr="00345119">
        <w:tc>
          <w:tcPr>
            <w:tcW w:w="9576" w:type="dxa"/>
          </w:tcPr>
          <w:p w:rsidR="008423E4" w:rsidRPr="00A8133F" w:rsidRDefault="00C27569" w:rsidP="006350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7569" w:rsidP="006350FB"/>
          <w:p w:rsidR="0020219D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956337">
              <w:t xml:space="preserve">S.B. 1101 amends the Government Code to </w:t>
            </w:r>
            <w:r>
              <w:t xml:space="preserve">provide for the </w:t>
            </w:r>
            <w:r>
              <w:t xml:space="preserve">establishment and </w:t>
            </w:r>
            <w:r>
              <w:t xml:space="preserve">consolidation of </w:t>
            </w:r>
            <w:r>
              <w:t xml:space="preserve">the following </w:t>
            </w:r>
            <w:r>
              <w:t xml:space="preserve">ombudsman </w:t>
            </w:r>
            <w:r>
              <w:t>programs</w:t>
            </w:r>
            <w:r>
              <w:t>, as applicable,</w:t>
            </w:r>
            <w:r>
              <w:t xml:space="preserve"> </w:t>
            </w:r>
            <w:r w:rsidRPr="00956337">
              <w:t xml:space="preserve">to </w:t>
            </w:r>
            <w:r>
              <w:t xml:space="preserve">be </w:t>
            </w:r>
            <w:r>
              <w:t xml:space="preserve">managed as part of the office of the ombudsman for </w:t>
            </w:r>
            <w:r w:rsidRPr="00684879">
              <w:t>the Health and Human Services Commission</w:t>
            </w:r>
            <w:r>
              <w:t xml:space="preserve"> (HHSC)</w:t>
            </w:r>
            <w:r>
              <w:t>:</w:t>
            </w:r>
          </w:p>
          <w:p w:rsidR="0020219D" w:rsidRDefault="00C27569" w:rsidP="006350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56337">
              <w:t>the ombudsman for children and youth in foster care</w:t>
            </w:r>
            <w:r>
              <w:t>;</w:t>
            </w:r>
            <w:r w:rsidRPr="00956337">
              <w:t xml:space="preserve"> </w:t>
            </w:r>
          </w:p>
          <w:p w:rsidR="0020219D" w:rsidRDefault="00C27569" w:rsidP="006350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56337">
              <w:t>the ombudsman for managed care</w:t>
            </w:r>
            <w:r>
              <w:t>;</w:t>
            </w:r>
            <w:r w:rsidRPr="00956337">
              <w:t xml:space="preserve"> </w:t>
            </w:r>
          </w:p>
          <w:p w:rsidR="0020219D" w:rsidRDefault="00C27569" w:rsidP="006350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56337">
              <w:t>the ombudsman for behavioral health access to care</w:t>
            </w:r>
            <w:r>
              <w:t>;</w:t>
            </w:r>
            <w:r w:rsidRPr="00956337">
              <w:t xml:space="preserve"> and </w:t>
            </w:r>
          </w:p>
          <w:p w:rsidR="008423E4" w:rsidRDefault="00C27569" w:rsidP="006350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56337">
              <w:t>the ombudsma</w:t>
            </w:r>
            <w:r w:rsidRPr="00956337">
              <w:t>n for individuals with intellectual or developmental disabilities.</w:t>
            </w:r>
          </w:p>
          <w:p w:rsidR="00335738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27BF1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1101</w:t>
            </w:r>
            <w:r w:rsidRPr="00956337">
              <w:t xml:space="preserve"> requires the executive commissioner</w:t>
            </w:r>
            <w:r>
              <w:t xml:space="preserve"> of HHSC</w:t>
            </w:r>
            <w:r w:rsidRPr="00956337">
              <w:t xml:space="preserve"> to appoint an ombudsman for each ombudsman program to serve at the will of the executive commissioner</w:t>
            </w:r>
            <w:r>
              <w:t xml:space="preserve"> and authorizes each ombudsma</w:t>
            </w:r>
            <w:r>
              <w:t xml:space="preserve">n, </w:t>
            </w:r>
            <w:r w:rsidRPr="00CF04CD">
              <w:t>subject to appropriation,</w:t>
            </w:r>
            <w:r>
              <w:t xml:space="preserve"> to employ staff to assist the ombudsman in performing the ombudsman's duties.</w:t>
            </w:r>
          </w:p>
          <w:p w:rsidR="00927BF1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35197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1101</w:t>
            </w:r>
            <w:r>
              <w:t xml:space="preserve"> </w:t>
            </w:r>
            <w:r>
              <w:t xml:space="preserve">sets out and </w:t>
            </w:r>
            <w:r>
              <w:t xml:space="preserve">revises provisions </w:t>
            </w:r>
            <w:r>
              <w:t>relating to</w:t>
            </w:r>
            <w:r>
              <w:t xml:space="preserve"> the following t</w:t>
            </w:r>
            <w:r>
              <w:t xml:space="preserve">o reflect </w:t>
            </w:r>
            <w:r>
              <w:t xml:space="preserve">both </w:t>
            </w:r>
            <w:r>
              <w:t>the</w:t>
            </w:r>
            <w:r>
              <w:t xml:space="preserve"> consolidation</w:t>
            </w:r>
            <w:r>
              <w:t xml:space="preserve"> </w:t>
            </w:r>
            <w:r>
              <w:t xml:space="preserve">of ombudsman programs </w:t>
            </w:r>
            <w:r>
              <w:t xml:space="preserve">and the abolishment </w:t>
            </w:r>
            <w:r>
              <w:t>of the ombudsman for the Department of Family and Protective Services</w:t>
            </w:r>
            <w:r>
              <w:t xml:space="preserve"> (DFPS)</w:t>
            </w:r>
            <w:r>
              <w:t xml:space="preserve"> </w:t>
            </w:r>
            <w:r>
              <w:t>in accordance with the</w:t>
            </w:r>
            <w:r>
              <w:t xml:space="preserve"> </w:t>
            </w:r>
            <w:r>
              <w:t xml:space="preserve">health </w:t>
            </w:r>
            <w:r>
              <w:t xml:space="preserve">and </w:t>
            </w:r>
            <w:r>
              <w:t xml:space="preserve">human services system </w:t>
            </w:r>
            <w:r>
              <w:t>consolidation</w:t>
            </w:r>
            <w:r>
              <w:t xml:space="preserve"> provided for by S.B. 200, Acts of the 84th Legislature, Regular Session, 2015</w:t>
            </w:r>
            <w:r>
              <w:t>, and</w:t>
            </w:r>
            <w:r>
              <w:t xml:space="preserve"> to</w:t>
            </w:r>
            <w:r>
              <w:t xml:space="preserve"> establish the program-specific duties of the </w:t>
            </w:r>
            <w:r>
              <w:t>consolidated</w:t>
            </w:r>
            <w:r>
              <w:t xml:space="preserve"> ombudsman programs</w:t>
            </w:r>
            <w:r>
              <w:t>, particularly with regard to complaint management and processing</w:t>
            </w:r>
            <w:r>
              <w:t>:</w:t>
            </w:r>
          </w:p>
          <w:p w:rsidR="00927BF1" w:rsidRDefault="00C27569" w:rsidP="006350FB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general duties of the former office of the ombudsman for DFPS;</w:t>
            </w:r>
          </w:p>
          <w:p w:rsidR="00684879" w:rsidRDefault="00C27569" w:rsidP="006350FB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D35197">
              <w:t xml:space="preserve">division of the ombudsman for children and youth in foster care within the office of the ombudsman for </w:t>
            </w:r>
            <w:r>
              <w:t>HHSC</w:t>
            </w:r>
            <w:r>
              <w:t>;</w:t>
            </w:r>
          </w:p>
          <w:p w:rsidR="00D35197" w:rsidRDefault="00C27569" w:rsidP="006350FB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>
              <w:t>requirement for</w:t>
            </w:r>
            <w:r>
              <w:t xml:space="preserve"> HHSC to provide support services for Medicaid recipients;</w:t>
            </w:r>
          </w:p>
          <w:p w:rsidR="000175DE" w:rsidRDefault="00C27569" w:rsidP="006350FB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ombudsman for behavioral health access to care; and</w:t>
            </w:r>
          </w:p>
          <w:p w:rsidR="00D35197" w:rsidRDefault="00C27569" w:rsidP="006350FB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ombudsman</w:t>
            </w:r>
            <w:r>
              <w:t xml:space="preserve"> for individuals with intellectual or developmental disabilities.</w:t>
            </w:r>
          </w:p>
          <w:p w:rsidR="00684879" w:rsidRDefault="00C27569" w:rsidP="006350F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EC28EB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956337">
              <w:t xml:space="preserve">S.B. 1101 </w:t>
            </w:r>
            <w:r>
              <w:t>revises provisions establishing the office of the ombudsman for HHSC to</w:t>
            </w:r>
            <w:r>
              <w:t xml:space="preserve"> do the following</w:t>
            </w:r>
            <w:r>
              <w:t>:</w:t>
            </w:r>
            <w:r>
              <w:t xml:space="preserve"> </w:t>
            </w:r>
          </w:p>
          <w:p w:rsidR="00EC28EB" w:rsidRDefault="00C27569" w:rsidP="006350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clarify that the services provided by the office are provided for and with respect t</w:t>
            </w:r>
            <w:r>
              <w:t>o the consumer, defined by the bill as one of the following:</w:t>
            </w:r>
          </w:p>
          <w:p w:rsidR="00EC28EB" w:rsidRDefault="00C27569" w:rsidP="006350F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member of the public seeking information about a program of the health and human services system; </w:t>
            </w:r>
          </w:p>
          <w:p w:rsidR="00D77ED5" w:rsidRDefault="00C27569" w:rsidP="006350F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 applicant or client of such a program;</w:t>
            </w:r>
          </w:p>
          <w:p w:rsidR="00D77ED5" w:rsidRDefault="00C27569" w:rsidP="006350FB">
            <w:pPr>
              <w:pStyle w:val="Header"/>
              <w:numPr>
                <w:ilvl w:val="1"/>
                <w:numId w:val="3"/>
              </w:numPr>
              <w:spacing w:before="120" w:after="120"/>
              <w:jc w:val="both"/>
            </w:pPr>
            <w:r>
              <w:t xml:space="preserve">the applicant's or client's legally authorized </w:t>
            </w:r>
            <w:r>
              <w:t>representative; or</w:t>
            </w:r>
          </w:p>
          <w:p w:rsidR="00D77ED5" w:rsidRDefault="00C27569" w:rsidP="006350F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child or youth in DFPS conservatorship</w:t>
            </w:r>
            <w:r>
              <w:t>;</w:t>
            </w:r>
          </w:p>
          <w:p w:rsidR="00EC28EB" w:rsidRDefault="00C27569" w:rsidP="006350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replace a provision establishing that the office does not have the authority to provide a separate process for resolving complaints or appeals with a provision that establishes that the office do</w:t>
            </w:r>
            <w:r>
              <w:t>es not have the authority to pr</w:t>
            </w:r>
            <w:r w:rsidRPr="00EC28EB">
              <w:t xml:space="preserve">ocess case actions or overturn a decision by </w:t>
            </w:r>
            <w:r>
              <w:t xml:space="preserve">HHSC </w:t>
            </w:r>
            <w:r w:rsidRPr="00EC28EB">
              <w:t>or a program of the health and human services system</w:t>
            </w:r>
            <w:r>
              <w:t>;</w:t>
            </w:r>
          </w:p>
          <w:p w:rsidR="0081124E" w:rsidRDefault="00C27569" w:rsidP="006350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clarify that contracted vendors are included among the entities within the health and human services system regarding whi</w:t>
            </w:r>
            <w:r>
              <w:t>ch inquiries and complaint data are tracked and collected; and</w:t>
            </w:r>
          </w:p>
          <w:p w:rsidR="00EC28EB" w:rsidRDefault="00C27569" w:rsidP="006350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 the office to be </w:t>
            </w:r>
            <w:r w:rsidRPr="00EC28EB">
              <w:t>sufficiently independent from programs of the health and human services system to</w:t>
            </w:r>
            <w:r>
              <w:t xml:space="preserve"> perform the ombudsman's duties.</w:t>
            </w:r>
          </w:p>
          <w:p w:rsidR="00EC28EB" w:rsidRDefault="00C27569" w:rsidP="006350F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45091D" w:rsidRDefault="00C27569" w:rsidP="006350FB">
            <w:pPr>
              <w:pStyle w:val="Header"/>
              <w:jc w:val="both"/>
            </w:pPr>
            <w:r>
              <w:t>C.S.</w:t>
            </w:r>
            <w:r w:rsidRPr="00956337">
              <w:t xml:space="preserve">S.B. 1101 </w:t>
            </w:r>
            <w:r>
              <w:t>authorize</w:t>
            </w:r>
            <w:r>
              <w:t>s</w:t>
            </w:r>
            <w:r>
              <w:t xml:space="preserve"> a child or youth in DFPS con</w:t>
            </w:r>
            <w:r>
              <w:t>servatorship to file a complaint directly with</w:t>
            </w:r>
            <w:r w:rsidRPr="00DE4635">
              <w:t xml:space="preserve"> the ombudsman for children and youth in foster care</w:t>
            </w:r>
            <w:r>
              <w:t>, regardless of whether the child or youth is served directly by DFPS or by a single source continuum contractor providing services for DFPS.</w:t>
            </w:r>
          </w:p>
          <w:p w:rsidR="000175DE" w:rsidRDefault="00C27569" w:rsidP="006350FB">
            <w:pPr>
              <w:pStyle w:val="Header"/>
              <w:jc w:val="both"/>
            </w:pPr>
          </w:p>
          <w:p w:rsidR="00A37072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956337">
              <w:t xml:space="preserve">S.B. 1101 </w:t>
            </w:r>
            <w:r>
              <w:t>clarifies that</w:t>
            </w:r>
            <w:r w:rsidRPr="00956337">
              <w:t xml:space="preserve"> </w:t>
            </w:r>
            <w:r>
              <w:t xml:space="preserve">the following are included among </w:t>
            </w:r>
            <w:r w:rsidRPr="00956337">
              <w:t xml:space="preserve">the individuals </w:t>
            </w:r>
            <w:r w:rsidRPr="00001F4D">
              <w:t>with</w:t>
            </w:r>
            <w:r w:rsidRPr="004B4DED">
              <w:t xml:space="preserve"> </w:t>
            </w:r>
            <w:r w:rsidRPr="004B4DED">
              <w:t>whom</w:t>
            </w:r>
            <w:r w:rsidRPr="00956337">
              <w:t xml:space="preserve"> the ombudsman for behavioral health</w:t>
            </w:r>
            <w:r>
              <w:t xml:space="preserve"> access to care</w:t>
            </w:r>
            <w:r w:rsidRPr="00956337">
              <w:t xml:space="preserve"> </w:t>
            </w:r>
            <w:r w:rsidRPr="004B4DED">
              <w:t>is required to interact</w:t>
            </w:r>
            <w:r w:rsidRPr="00956337">
              <w:t xml:space="preserve"> to help resolve behavioral health care access issues</w:t>
            </w:r>
            <w:r>
              <w:t>:</w:t>
            </w:r>
            <w:r w:rsidRPr="00956337">
              <w:t xml:space="preserve"> </w:t>
            </w:r>
          </w:p>
          <w:p w:rsidR="00A37072" w:rsidRDefault="00C27569" w:rsidP="006350FB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56337">
              <w:t>patients of state hospitals</w:t>
            </w:r>
            <w:r>
              <w:t>;</w:t>
            </w:r>
            <w:r w:rsidRPr="00956337">
              <w:t xml:space="preserve"> and </w:t>
            </w:r>
          </w:p>
          <w:p w:rsidR="00A37072" w:rsidRDefault="00C27569" w:rsidP="006350FB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56337">
              <w:t xml:space="preserve">consumers seeking and receiving services through a local </w:t>
            </w:r>
            <w:r>
              <w:t xml:space="preserve">mental or </w:t>
            </w:r>
            <w:r w:rsidRPr="00956337">
              <w:t xml:space="preserve">behavioral health authority. </w:t>
            </w:r>
          </w:p>
          <w:p w:rsidR="00956337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41556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1101 amends the Family Code to include among the rights each child in foster care is entitled to be informed of the right to notification of the outc</w:t>
            </w:r>
            <w:r>
              <w:t xml:space="preserve">ome of certain investigations in which the child is involved. </w:t>
            </w:r>
          </w:p>
          <w:p w:rsidR="00541556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56337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1101 repeals </w:t>
            </w:r>
            <w:r w:rsidRPr="00956337">
              <w:t>Sections 531.9921 and 531.9941, Government Code</w:t>
            </w:r>
            <w:r>
              <w:t>.</w:t>
            </w:r>
          </w:p>
          <w:p w:rsidR="008423E4" w:rsidRPr="00835628" w:rsidRDefault="00C27569" w:rsidP="006350FB">
            <w:pPr>
              <w:rPr>
                <w:b/>
              </w:rPr>
            </w:pPr>
          </w:p>
        </w:tc>
      </w:tr>
      <w:tr w:rsidR="00153F2B" w:rsidTr="00345119">
        <w:tc>
          <w:tcPr>
            <w:tcW w:w="9576" w:type="dxa"/>
          </w:tcPr>
          <w:p w:rsidR="008423E4" w:rsidRPr="00A8133F" w:rsidRDefault="00C27569" w:rsidP="006350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7569" w:rsidP="006350FB"/>
          <w:p w:rsidR="008423E4" w:rsidRPr="003624F2" w:rsidRDefault="00C27569" w:rsidP="006350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Default="00C27569" w:rsidP="006350FB">
            <w:pPr>
              <w:rPr>
                <w:b/>
              </w:rPr>
            </w:pPr>
          </w:p>
          <w:p w:rsidR="002F6A6E" w:rsidRPr="00233FDB" w:rsidRDefault="00C27569" w:rsidP="006350FB">
            <w:pPr>
              <w:rPr>
                <w:b/>
              </w:rPr>
            </w:pPr>
          </w:p>
        </w:tc>
      </w:tr>
      <w:tr w:rsidR="00153F2B" w:rsidTr="00345119">
        <w:tc>
          <w:tcPr>
            <w:tcW w:w="9576" w:type="dxa"/>
          </w:tcPr>
          <w:p w:rsidR="006764CE" w:rsidRDefault="00C27569" w:rsidP="006350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</w:t>
            </w:r>
            <w:r>
              <w:rPr>
                <w:b/>
                <w:u w:val="single"/>
              </w:rPr>
              <w:t>ENATE ENGROSSED AND SUBSTITUTE</w:t>
            </w:r>
          </w:p>
          <w:p w:rsidR="007D191F" w:rsidRDefault="00C27569" w:rsidP="006350FB">
            <w:pPr>
              <w:jc w:val="both"/>
            </w:pPr>
          </w:p>
          <w:p w:rsidR="007D191F" w:rsidRDefault="00C27569" w:rsidP="006350FB">
            <w:pPr>
              <w:jc w:val="both"/>
            </w:pPr>
            <w:r>
              <w:t>While C.S.S.B. 1101 may differ from the original in minor or nonsubstantive ways, the following summarizes the substantial differences between the introduced and committee substitute versions of the bill.</w:t>
            </w:r>
          </w:p>
          <w:p w:rsidR="007D191F" w:rsidRDefault="00C27569" w:rsidP="006350FB">
            <w:pPr>
              <w:jc w:val="both"/>
            </w:pPr>
          </w:p>
          <w:p w:rsidR="004E20B3" w:rsidRDefault="00C27569" w:rsidP="006350FB">
            <w:pPr>
              <w:jc w:val="both"/>
            </w:pPr>
            <w:r>
              <w:t xml:space="preserve">The substitute </w:t>
            </w:r>
            <w:r>
              <w:t xml:space="preserve">revises the program-specific duties of the ombudsman for child </w:t>
            </w:r>
            <w:r>
              <w:t>and</w:t>
            </w:r>
            <w:r>
              <w:t xml:space="preserve"> youth in foster care by:</w:t>
            </w:r>
          </w:p>
          <w:p w:rsidR="003D5A7C" w:rsidRDefault="00C27569" w:rsidP="006350FB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 xml:space="preserve">specifying that the </w:t>
            </w:r>
            <w:r w:rsidRPr="00D47E66">
              <w:t>child care licensing division is the recipient within HHSC</w:t>
            </w:r>
            <w:r>
              <w:t xml:space="preserve"> of the monthly report from the ombudsman regarding certain investigations;</w:t>
            </w:r>
          </w:p>
          <w:p w:rsidR="004E20B3" w:rsidRDefault="00C27569" w:rsidP="006350FB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 xml:space="preserve">specifying </w:t>
            </w:r>
            <w:r>
              <w:t xml:space="preserve">that the information required to be contained within the monthly report is information relating to investigations completed during the preceding month; </w:t>
            </w:r>
          </w:p>
          <w:p w:rsidR="004E20B3" w:rsidRDefault="00C27569" w:rsidP="006350FB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 xml:space="preserve">making </w:t>
            </w:r>
            <w:r w:rsidRPr="00991D27">
              <w:t xml:space="preserve">it mandatory to provide that report to the division </w:t>
            </w:r>
            <w:r>
              <w:t xml:space="preserve">and to DFPS; </w:t>
            </w:r>
          </w:p>
          <w:p w:rsidR="0058764F" w:rsidRDefault="00C27569" w:rsidP="006350FB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includ</w:t>
            </w:r>
            <w:r>
              <w:t>ing</w:t>
            </w:r>
            <w:r>
              <w:t xml:space="preserve"> </w:t>
            </w:r>
            <w:r>
              <w:t xml:space="preserve">a </w:t>
            </w:r>
            <w:r>
              <w:t>requir</w:t>
            </w:r>
            <w:r>
              <w:t>e</w:t>
            </w:r>
            <w:r>
              <w:t>ment</w:t>
            </w:r>
            <w:r>
              <w:t xml:space="preserve"> </w:t>
            </w:r>
            <w:r>
              <w:t xml:space="preserve">for </w:t>
            </w:r>
            <w:r>
              <w:t>DFPS or the division</w:t>
            </w:r>
            <w:r>
              <w:t>, as applicable, to</w:t>
            </w:r>
            <w:r>
              <w:t xml:space="preserve"> provide notice to the ombudsman </w:t>
            </w:r>
            <w:r>
              <w:t>on whether DFPS</w:t>
            </w:r>
            <w:r w:rsidRPr="004E20B3">
              <w:t xml:space="preserve"> or </w:t>
            </w:r>
            <w:r>
              <w:t xml:space="preserve">the </w:t>
            </w:r>
            <w:r w:rsidRPr="004E20B3">
              <w:t>division adopted or rejected any of the ombudsman's recommended corrective actions</w:t>
            </w:r>
            <w:r>
              <w:t>; and</w:t>
            </w:r>
          </w:p>
          <w:p w:rsidR="007D191F" w:rsidRDefault="00C27569" w:rsidP="006350FB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requiring DFPS and the division to include in that notice the re</w:t>
            </w:r>
            <w:r>
              <w:t xml:space="preserve">ason for rejecting a recommended action, if applicable. </w:t>
            </w:r>
          </w:p>
          <w:p w:rsidR="007D191F" w:rsidRDefault="00C27569" w:rsidP="006350FB">
            <w:pPr>
              <w:jc w:val="both"/>
            </w:pPr>
          </w:p>
          <w:p w:rsidR="00767C37" w:rsidRDefault="00C27569" w:rsidP="006350FB">
            <w:pPr>
              <w:jc w:val="both"/>
            </w:pPr>
            <w:r>
              <w:t xml:space="preserve">The substitute does not include provisions </w:t>
            </w:r>
            <w:r>
              <w:t>setting out</w:t>
            </w:r>
            <w:r>
              <w:t xml:space="preserve"> </w:t>
            </w:r>
            <w:r>
              <w:t xml:space="preserve">a specific </w:t>
            </w:r>
            <w:r>
              <w:t xml:space="preserve">complaint process for a </w:t>
            </w:r>
            <w:r w:rsidRPr="007D191F">
              <w:t>child or youth in DFPS conservatorship</w:t>
            </w:r>
            <w:r>
              <w:t xml:space="preserve"> served by a single source continuum contractor. </w:t>
            </w:r>
            <w:r>
              <w:t xml:space="preserve">The substitute </w:t>
            </w:r>
            <w:r>
              <w:t>includ</w:t>
            </w:r>
            <w:r>
              <w:t xml:space="preserve">es provisions that instead authorize any child or youth in DFPS conservatorship to file a </w:t>
            </w:r>
            <w:r w:rsidRPr="00991D27">
              <w:t xml:space="preserve">complaint directly with </w:t>
            </w:r>
            <w:r>
              <w:t>an</w:t>
            </w:r>
            <w:r w:rsidRPr="00991D27">
              <w:t xml:space="preserve"> ombudsman</w:t>
            </w:r>
            <w:r>
              <w:t xml:space="preserve"> </w:t>
            </w:r>
            <w:r>
              <w:t>regardless of whether the child or youth is served directly by DFPS or by a single source continuum contractor</w:t>
            </w:r>
            <w:r>
              <w:t>.</w:t>
            </w:r>
          </w:p>
          <w:p w:rsidR="00767C37" w:rsidRDefault="00C27569" w:rsidP="006350FB">
            <w:pPr>
              <w:jc w:val="both"/>
            </w:pPr>
          </w:p>
          <w:p w:rsidR="00541556" w:rsidRDefault="00C27569" w:rsidP="006350FB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i</w:t>
            </w:r>
            <w:r>
              <w:t>ncludes a provision entitling each child in foster care to be informed of the</w:t>
            </w:r>
            <w:r>
              <w:t xml:space="preserve"> </w:t>
            </w:r>
            <w:r>
              <w:t xml:space="preserve">child's </w:t>
            </w:r>
            <w:r>
              <w:t xml:space="preserve">right to </w:t>
            </w:r>
            <w:r w:rsidRPr="00541556">
              <w:t>notification of the outcome of certain investigations in which the child is involved.</w:t>
            </w:r>
          </w:p>
          <w:p w:rsidR="007D191F" w:rsidRPr="007D191F" w:rsidRDefault="00C27569" w:rsidP="006350FB">
            <w:pPr>
              <w:jc w:val="both"/>
            </w:pPr>
          </w:p>
        </w:tc>
      </w:tr>
      <w:tr w:rsidR="00153F2B" w:rsidTr="00345119">
        <w:tc>
          <w:tcPr>
            <w:tcW w:w="9576" w:type="dxa"/>
          </w:tcPr>
          <w:p w:rsidR="006764CE" w:rsidRPr="009C1E9A" w:rsidRDefault="00C27569" w:rsidP="006350FB">
            <w:pPr>
              <w:rPr>
                <w:b/>
                <w:u w:val="single"/>
              </w:rPr>
            </w:pPr>
          </w:p>
        </w:tc>
      </w:tr>
      <w:tr w:rsidR="00153F2B" w:rsidTr="00345119">
        <w:tc>
          <w:tcPr>
            <w:tcW w:w="9576" w:type="dxa"/>
          </w:tcPr>
          <w:p w:rsidR="006764CE" w:rsidRPr="006764CE" w:rsidRDefault="00C27569" w:rsidP="006350FB">
            <w:pPr>
              <w:jc w:val="both"/>
            </w:pPr>
          </w:p>
        </w:tc>
      </w:tr>
    </w:tbl>
    <w:p w:rsidR="008423E4" w:rsidRPr="00BE0E75" w:rsidRDefault="00C275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756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7569">
      <w:r>
        <w:separator/>
      </w:r>
    </w:p>
  </w:endnote>
  <w:endnote w:type="continuationSeparator" w:id="0">
    <w:p w:rsidR="00000000" w:rsidRDefault="00C2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3F2B" w:rsidTr="009C1E9A">
      <w:trPr>
        <w:cantSplit/>
      </w:trPr>
      <w:tc>
        <w:tcPr>
          <w:tcW w:w="0" w:type="pct"/>
        </w:tcPr>
        <w:p w:rsidR="00137D90" w:rsidRDefault="00C27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75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75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7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7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3F2B" w:rsidTr="009C1E9A">
      <w:trPr>
        <w:cantSplit/>
      </w:trPr>
      <w:tc>
        <w:tcPr>
          <w:tcW w:w="0" w:type="pct"/>
        </w:tcPr>
        <w:p w:rsidR="00EC379B" w:rsidRDefault="00C27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75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34550</w:t>
          </w:r>
        </w:p>
      </w:tc>
      <w:tc>
        <w:tcPr>
          <w:tcW w:w="2453" w:type="pct"/>
        </w:tcPr>
        <w:p w:rsidR="00EC379B" w:rsidRDefault="00C27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19.136.133</w:t>
          </w:r>
          <w:r>
            <w:fldChar w:fldCharType="end"/>
          </w:r>
        </w:p>
      </w:tc>
    </w:tr>
    <w:tr w:rsidR="00153F2B" w:rsidTr="009C1E9A">
      <w:trPr>
        <w:cantSplit/>
      </w:trPr>
      <w:tc>
        <w:tcPr>
          <w:tcW w:w="0" w:type="pct"/>
        </w:tcPr>
        <w:p w:rsidR="00EC379B" w:rsidRDefault="00C275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75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33304</w:t>
          </w:r>
        </w:p>
      </w:tc>
      <w:tc>
        <w:tcPr>
          <w:tcW w:w="2453" w:type="pct"/>
        </w:tcPr>
        <w:p w:rsidR="00EC379B" w:rsidRDefault="00C27569" w:rsidP="006D504F">
          <w:pPr>
            <w:pStyle w:val="Footer"/>
            <w:rPr>
              <w:rStyle w:val="PageNumber"/>
            </w:rPr>
          </w:pPr>
        </w:p>
        <w:p w:rsidR="00EC379B" w:rsidRDefault="00C27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3F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75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C275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75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7569">
      <w:r>
        <w:separator/>
      </w:r>
    </w:p>
  </w:footnote>
  <w:footnote w:type="continuationSeparator" w:id="0">
    <w:p w:rsidR="00000000" w:rsidRDefault="00C2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77A"/>
    <w:multiLevelType w:val="hybridMultilevel"/>
    <w:tmpl w:val="57B4E87A"/>
    <w:lvl w:ilvl="0" w:tplc="0994C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40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01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CA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21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81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C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A2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EE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666"/>
    <w:multiLevelType w:val="hybridMultilevel"/>
    <w:tmpl w:val="586824AE"/>
    <w:lvl w:ilvl="0" w:tplc="1624C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4B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69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9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3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42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6C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2A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8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6F8C"/>
    <w:multiLevelType w:val="hybridMultilevel"/>
    <w:tmpl w:val="152A2EDA"/>
    <w:lvl w:ilvl="0" w:tplc="6F8CB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D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47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A8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8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8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EB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82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EC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2720"/>
    <w:multiLevelType w:val="hybridMultilevel"/>
    <w:tmpl w:val="4418DCD4"/>
    <w:lvl w:ilvl="0" w:tplc="C2A24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80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C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A0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EE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0C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40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C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EF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2F25"/>
    <w:multiLevelType w:val="hybridMultilevel"/>
    <w:tmpl w:val="A6E8C22C"/>
    <w:lvl w:ilvl="0" w:tplc="95763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00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EE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3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7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2E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A7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CA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0F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0E4F"/>
    <w:multiLevelType w:val="hybridMultilevel"/>
    <w:tmpl w:val="2B64E50E"/>
    <w:lvl w:ilvl="0" w:tplc="5B368A1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202F84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212E60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DAE5A4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5F6FBD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4F091D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C64DB3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1DEE1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2D8631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556D35"/>
    <w:multiLevelType w:val="hybridMultilevel"/>
    <w:tmpl w:val="ABD0F76E"/>
    <w:lvl w:ilvl="0" w:tplc="A38EF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C5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C4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2C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6E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C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41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27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26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04AC"/>
    <w:multiLevelType w:val="hybridMultilevel"/>
    <w:tmpl w:val="BEA2C830"/>
    <w:lvl w:ilvl="0" w:tplc="BB44D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42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E3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C8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AC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0D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9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0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44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B1A37"/>
    <w:multiLevelType w:val="hybridMultilevel"/>
    <w:tmpl w:val="BB005ED0"/>
    <w:lvl w:ilvl="0" w:tplc="AFD8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47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0B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47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C6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27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AB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E0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E6F"/>
    <w:multiLevelType w:val="hybridMultilevel"/>
    <w:tmpl w:val="F5569936"/>
    <w:lvl w:ilvl="0" w:tplc="FB1CE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8F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65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04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8D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C1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8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4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A9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B"/>
    <w:rsid w:val="00153F2B"/>
    <w:rsid w:val="00C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430399-18A3-456F-B213-AE28DE6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63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3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6337"/>
    <w:rPr>
      <w:b/>
      <w:bCs/>
    </w:rPr>
  </w:style>
  <w:style w:type="paragraph" w:styleId="ListParagraph">
    <w:name w:val="List Paragraph"/>
    <w:basedOn w:val="Normal"/>
    <w:uiPriority w:val="34"/>
    <w:qFormat/>
    <w:rsid w:val="004E20B3"/>
    <w:pPr>
      <w:ind w:left="720"/>
      <w:contextualSpacing/>
    </w:pPr>
  </w:style>
  <w:style w:type="paragraph" w:styleId="Revision">
    <w:name w:val="Revision"/>
    <w:hidden/>
    <w:uiPriority w:val="99"/>
    <w:semiHidden/>
    <w:rsid w:val="00650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5669</Characters>
  <Application>Microsoft Office Word</Application>
  <DocSecurity>4</DocSecurity>
  <Lines>132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SB01101 (Committee Report (Substituted))</vt:lpstr>
    </vt:vector>
  </TitlesOfParts>
  <Company>State of Texas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34550</dc:subject>
  <dc:creator>State of Texas</dc:creator>
  <dc:description>SB 1101 by Kolkhorst-(H)Human Services (Substitute Document Number: 86R 33304)</dc:description>
  <cp:lastModifiedBy>Scotty Wimberley</cp:lastModifiedBy>
  <cp:revision>2</cp:revision>
  <cp:lastPrinted>2003-11-26T17:21:00Z</cp:lastPrinted>
  <dcterms:created xsi:type="dcterms:W3CDTF">2019-05-17T17:03:00Z</dcterms:created>
  <dcterms:modified xsi:type="dcterms:W3CDTF">2019-05-17T17:03:00Z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19.136.133</vt:lpwstr>
  </property>
</Properties>
</file>