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B2" w:rsidRDefault="000E7C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0111548E164F2B96BC051B28ED6AB9"/>
          </w:placeholder>
        </w:sdtPr>
        <w:sdtContent>
          <w:r w:rsidRPr="005C2A78">
            <w:rPr>
              <w:rFonts w:cs="Times New Roman"/>
              <w:b/>
              <w:szCs w:val="24"/>
              <w:u w:val="single"/>
            </w:rPr>
            <w:t>BILL ANALYSIS</w:t>
          </w:r>
        </w:sdtContent>
      </w:sdt>
    </w:p>
    <w:p w:rsidR="000E7CB2" w:rsidRPr="00585C31" w:rsidRDefault="000E7CB2" w:rsidP="000F1DF9">
      <w:pPr>
        <w:spacing w:after="0" w:line="240" w:lineRule="auto"/>
        <w:rPr>
          <w:rFonts w:cs="Times New Roman"/>
          <w:szCs w:val="24"/>
        </w:rPr>
      </w:pPr>
    </w:p>
    <w:p w:rsidR="000E7CB2" w:rsidRPr="00585C31" w:rsidRDefault="000E7C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7CB2" w:rsidTr="000F1DF9">
        <w:tc>
          <w:tcPr>
            <w:tcW w:w="2718" w:type="dxa"/>
          </w:tcPr>
          <w:p w:rsidR="000E7CB2" w:rsidRPr="005C2A78" w:rsidRDefault="000E7CB2" w:rsidP="006D756B">
            <w:pPr>
              <w:rPr>
                <w:rFonts w:cs="Times New Roman"/>
                <w:szCs w:val="24"/>
              </w:rPr>
            </w:pPr>
            <w:sdt>
              <w:sdtPr>
                <w:rPr>
                  <w:rFonts w:cs="Times New Roman"/>
                  <w:szCs w:val="24"/>
                </w:rPr>
                <w:alias w:val="Agency Title"/>
                <w:tag w:val="AgencyTitleContentControl"/>
                <w:id w:val="1920747753"/>
                <w:lock w:val="sdtContentLocked"/>
                <w:placeholder>
                  <w:docPart w:val="607E1196418343F49ED6D166DCBEE87E"/>
                </w:placeholder>
              </w:sdtPr>
              <w:sdtEndPr>
                <w:rPr>
                  <w:rFonts w:cstheme="minorBidi"/>
                  <w:szCs w:val="22"/>
                </w:rPr>
              </w:sdtEndPr>
              <w:sdtContent>
                <w:r>
                  <w:rPr>
                    <w:rFonts w:cs="Times New Roman"/>
                    <w:szCs w:val="24"/>
                  </w:rPr>
                  <w:t>Senate Research Center</w:t>
                </w:r>
              </w:sdtContent>
            </w:sdt>
          </w:p>
        </w:tc>
        <w:tc>
          <w:tcPr>
            <w:tcW w:w="6858" w:type="dxa"/>
          </w:tcPr>
          <w:p w:rsidR="000E7CB2" w:rsidRPr="00FF6471" w:rsidRDefault="000E7CB2" w:rsidP="000F1DF9">
            <w:pPr>
              <w:jc w:val="right"/>
              <w:rPr>
                <w:rFonts w:cs="Times New Roman"/>
                <w:szCs w:val="24"/>
              </w:rPr>
            </w:pPr>
            <w:sdt>
              <w:sdtPr>
                <w:rPr>
                  <w:rFonts w:cs="Times New Roman"/>
                  <w:szCs w:val="24"/>
                </w:rPr>
                <w:alias w:val="Bill Number"/>
                <w:tag w:val="BillNumberOne"/>
                <w:id w:val="-410784069"/>
                <w:lock w:val="sdtContentLocked"/>
                <w:placeholder>
                  <w:docPart w:val="3063FE1133DA45D4882C9E89C0B7AE04"/>
                </w:placeholder>
              </w:sdtPr>
              <w:sdtContent>
                <w:r>
                  <w:rPr>
                    <w:rFonts w:cs="Times New Roman"/>
                    <w:szCs w:val="24"/>
                  </w:rPr>
                  <w:t>S.B. 1116</w:t>
                </w:r>
              </w:sdtContent>
            </w:sdt>
          </w:p>
        </w:tc>
      </w:tr>
      <w:tr w:rsidR="000E7CB2" w:rsidTr="000F1DF9">
        <w:sdt>
          <w:sdtPr>
            <w:rPr>
              <w:rFonts w:cs="Times New Roman"/>
              <w:szCs w:val="24"/>
            </w:rPr>
            <w:alias w:val="TLCNumber"/>
            <w:tag w:val="TLCNumber"/>
            <w:id w:val="-542600604"/>
            <w:lock w:val="sdtLocked"/>
            <w:placeholder>
              <w:docPart w:val="418CEE4CE0084E988AE6082CCE5054FB"/>
            </w:placeholder>
          </w:sdtPr>
          <w:sdtContent>
            <w:tc>
              <w:tcPr>
                <w:tcW w:w="2718" w:type="dxa"/>
              </w:tcPr>
              <w:p w:rsidR="000E7CB2" w:rsidRPr="000F1DF9" w:rsidRDefault="000E7CB2" w:rsidP="00C65088">
                <w:pPr>
                  <w:rPr>
                    <w:rFonts w:cs="Times New Roman"/>
                    <w:szCs w:val="24"/>
                  </w:rPr>
                </w:pPr>
                <w:r>
                  <w:rPr>
                    <w:rFonts w:cs="Times New Roman"/>
                    <w:szCs w:val="24"/>
                  </w:rPr>
                  <w:t>86R7734 SMT-F</w:t>
                </w:r>
              </w:p>
            </w:tc>
          </w:sdtContent>
        </w:sdt>
        <w:tc>
          <w:tcPr>
            <w:tcW w:w="6858" w:type="dxa"/>
          </w:tcPr>
          <w:p w:rsidR="000E7CB2" w:rsidRPr="005C2A78" w:rsidRDefault="000E7CB2" w:rsidP="006D756B">
            <w:pPr>
              <w:jc w:val="right"/>
              <w:rPr>
                <w:rFonts w:cs="Times New Roman"/>
                <w:szCs w:val="24"/>
              </w:rPr>
            </w:pPr>
            <w:sdt>
              <w:sdtPr>
                <w:rPr>
                  <w:rFonts w:cs="Times New Roman"/>
                  <w:szCs w:val="24"/>
                </w:rPr>
                <w:alias w:val="Author Label"/>
                <w:tag w:val="By"/>
                <w:id w:val="72399597"/>
                <w:lock w:val="sdtLocked"/>
                <w:placeholder>
                  <w:docPart w:val="04D69CA4BBDB46299CBCB3BD514B19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7F1AB50D0E448D801815B2533CAD1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476C4F9AE57499EAD8908A7268C28A5"/>
                </w:placeholder>
                <w:showingPlcHdr/>
              </w:sdtPr>
              <w:sdtContent/>
            </w:sdt>
          </w:p>
        </w:tc>
      </w:tr>
      <w:tr w:rsidR="000E7CB2" w:rsidTr="000F1DF9">
        <w:tc>
          <w:tcPr>
            <w:tcW w:w="2718" w:type="dxa"/>
          </w:tcPr>
          <w:p w:rsidR="000E7CB2" w:rsidRPr="00BC7495" w:rsidRDefault="000E7CB2" w:rsidP="000F1DF9">
            <w:pPr>
              <w:rPr>
                <w:rFonts w:cs="Times New Roman"/>
                <w:szCs w:val="24"/>
              </w:rPr>
            </w:pPr>
          </w:p>
        </w:tc>
        <w:sdt>
          <w:sdtPr>
            <w:rPr>
              <w:rFonts w:cs="Times New Roman"/>
              <w:szCs w:val="24"/>
            </w:rPr>
            <w:alias w:val="Committee"/>
            <w:tag w:val="Committee"/>
            <w:id w:val="1914272295"/>
            <w:lock w:val="sdtContentLocked"/>
            <w:placeholder>
              <w:docPart w:val="66662AACB27344C596A0AE9D96B521F6"/>
            </w:placeholder>
          </w:sdtPr>
          <w:sdtContent>
            <w:tc>
              <w:tcPr>
                <w:tcW w:w="6858" w:type="dxa"/>
              </w:tcPr>
              <w:p w:rsidR="000E7CB2" w:rsidRPr="00FF6471" w:rsidRDefault="000E7CB2" w:rsidP="000F1DF9">
                <w:pPr>
                  <w:jc w:val="right"/>
                  <w:rPr>
                    <w:rFonts w:cs="Times New Roman"/>
                    <w:szCs w:val="24"/>
                  </w:rPr>
                </w:pPr>
                <w:r>
                  <w:rPr>
                    <w:rFonts w:cs="Times New Roman"/>
                    <w:szCs w:val="24"/>
                  </w:rPr>
                  <w:t>Finance</w:t>
                </w:r>
              </w:p>
            </w:tc>
          </w:sdtContent>
        </w:sdt>
      </w:tr>
      <w:tr w:rsidR="000E7CB2" w:rsidTr="000F1DF9">
        <w:tc>
          <w:tcPr>
            <w:tcW w:w="2718" w:type="dxa"/>
          </w:tcPr>
          <w:p w:rsidR="000E7CB2" w:rsidRPr="00BC7495" w:rsidRDefault="000E7CB2" w:rsidP="000F1DF9">
            <w:pPr>
              <w:rPr>
                <w:rFonts w:cs="Times New Roman"/>
                <w:szCs w:val="24"/>
              </w:rPr>
            </w:pPr>
          </w:p>
        </w:tc>
        <w:sdt>
          <w:sdtPr>
            <w:rPr>
              <w:rFonts w:cs="Times New Roman"/>
              <w:szCs w:val="24"/>
            </w:rPr>
            <w:alias w:val="Date"/>
            <w:tag w:val="DateContentControl"/>
            <w:id w:val="1178081906"/>
            <w:lock w:val="sdtLocked"/>
            <w:placeholder>
              <w:docPart w:val="BA907DA7524741E19A9A9767159DB7C2"/>
            </w:placeholder>
            <w:date w:fullDate="2019-04-01T00:00:00Z">
              <w:dateFormat w:val="M/d/yyyy"/>
              <w:lid w:val="en-US"/>
              <w:storeMappedDataAs w:val="dateTime"/>
              <w:calendar w:val="gregorian"/>
            </w:date>
          </w:sdtPr>
          <w:sdtContent>
            <w:tc>
              <w:tcPr>
                <w:tcW w:w="6858" w:type="dxa"/>
              </w:tcPr>
              <w:p w:rsidR="000E7CB2" w:rsidRPr="00FF6471" w:rsidRDefault="000E7CB2" w:rsidP="000F1DF9">
                <w:pPr>
                  <w:jc w:val="right"/>
                  <w:rPr>
                    <w:rFonts w:cs="Times New Roman"/>
                    <w:szCs w:val="24"/>
                  </w:rPr>
                </w:pPr>
                <w:r>
                  <w:rPr>
                    <w:rFonts w:cs="Times New Roman"/>
                    <w:szCs w:val="24"/>
                  </w:rPr>
                  <w:t>4/1/2019</w:t>
                </w:r>
              </w:p>
            </w:tc>
          </w:sdtContent>
        </w:sdt>
      </w:tr>
      <w:tr w:rsidR="000E7CB2" w:rsidTr="000F1DF9">
        <w:tc>
          <w:tcPr>
            <w:tcW w:w="2718" w:type="dxa"/>
          </w:tcPr>
          <w:p w:rsidR="000E7CB2" w:rsidRPr="00BC7495" w:rsidRDefault="000E7CB2" w:rsidP="000F1DF9">
            <w:pPr>
              <w:rPr>
                <w:rFonts w:cs="Times New Roman"/>
                <w:szCs w:val="24"/>
              </w:rPr>
            </w:pPr>
          </w:p>
        </w:tc>
        <w:sdt>
          <w:sdtPr>
            <w:rPr>
              <w:rFonts w:cs="Times New Roman"/>
              <w:szCs w:val="24"/>
            </w:rPr>
            <w:alias w:val="BA Version"/>
            <w:tag w:val="BAVersion"/>
            <w:id w:val="-1685590809"/>
            <w:lock w:val="sdtContentLocked"/>
            <w:placeholder>
              <w:docPart w:val="4661ABE3B7F14702B8618B97FD4A5C5F"/>
            </w:placeholder>
          </w:sdtPr>
          <w:sdtContent>
            <w:tc>
              <w:tcPr>
                <w:tcW w:w="6858" w:type="dxa"/>
              </w:tcPr>
              <w:p w:rsidR="000E7CB2" w:rsidRPr="00FF6471" w:rsidRDefault="000E7CB2" w:rsidP="000F1DF9">
                <w:pPr>
                  <w:jc w:val="right"/>
                  <w:rPr>
                    <w:rFonts w:cs="Times New Roman"/>
                    <w:szCs w:val="24"/>
                  </w:rPr>
                </w:pPr>
                <w:r>
                  <w:rPr>
                    <w:rFonts w:cs="Times New Roman"/>
                    <w:szCs w:val="24"/>
                  </w:rPr>
                  <w:t>As Filed</w:t>
                </w:r>
              </w:p>
            </w:tc>
          </w:sdtContent>
        </w:sdt>
      </w:tr>
    </w:tbl>
    <w:p w:rsidR="000E7CB2" w:rsidRPr="00FF6471" w:rsidRDefault="000E7CB2" w:rsidP="000F1DF9">
      <w:pPr>
        <w:spacing w:after="0" w:line="240" w:lineRule="auto"/>
        <w:rPr>
          <w:rFonts w:cs="Times New Roman"/>
          <w:szCs w:val="24"/>
        </w:rPr>
      </w:pPr>
    </w:p>
    <w:p w:rsidR="000E7CB2" w:rsidRPr="00FF6471" w:rsidRDefault="000E7CB2" w:rsidP="000F1DF9">
      <w:pPr>
        <w:spacing w:after="0" w:line="240" w:lineRule="auto"/>
        <w:rPr>
          <w:rFonts w:cs="Times New Roman"/>
          <w:szCs w:val="24"/>
        </w:rPr>
      </w:pPr>
    </w:p>
    <w:p w:rsidR="000E7CB2" w:rsidRPr="00FF6471" w:rsidRDefault="000E7C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A5E40B9BD542FA9A22F7522A0DCC70"/>
        </w:placeholder>
      </w:sdtPr>
      <w:sdtContent>
        <w:p w:rsidR="000E7CB2" w:rsidRDefault="000E7C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6F55D7F3744451914276BCB038AE49"/>
        </w:placeholder>
      </w:sdtPr>
      <w:sdtContent>
        <w:p w:rsidR="000E7CB2" w:rsidRDefault="000E7CB2" w:rsidP="000E7CB2">
          <w:pPr>
            <w:pStyle w:val="NormalWeb"/>
            <w:spacing w:before="0" w:beforeAutospacing="0" w:after="0" w:afterAutospacing="0"/>
            <w:jc w:val="both"/>
            <w:divId w:val="404574563"/>
            <w:rPr>
              <w:rFonts w:eastAsia="Times New Roman"/>
              <w:bCs/>
            </w:rPr>
          </w:pPr>
        </w:p>
        <w:p w:rsidR="000E7CB2" w:rsidRDefault="000E7CB2" w:rsidP="000E7CB2">
          <w:pPr>
            <w:pStyle w:val="NormalWeb"/>
            <w:spacing w:before="0" w:beforeAutospacing="0" w:after="0" w:afterAutospacing="0"/>
            <w:jc w:val="both"/>
            <w:divId w:val="404574563"/>
            <w:rPr>
              <w:color w:val="000000"/>
            </w:rPr>
          </w:pPr>
          <w:r w:rsidRPr="007915E1">
            <w:rPr>
              <w:color w:val="000000"/>
            </w:rPr>
            <w:t>Interested parties who serve individuals experiencing homelessness and other vulnerable populations dealing with housing instability struggle with providing long-term, affordable housing for these individuals. According to the United States Interagency Council on Homelessness, the most successful model for housing these individuals is Permanent Supportive</w:t>
          </w:r>
          <w:r>
            <w:rPr>
              <w:color w:val="000000"/>
            </w:rPr>
            <w:t xml:space="preserve"> Housing, which provides housing</w:t>
          </w:r>
          <w:r w:rsidRPr="007915E1">
            <w:rPr>
              <w:color w:val="000000"/>
            </w:rPr>
            <w:t xml:space="preserve"> as well as services designed to build independent living and tenancy skills, assistance with integrating into the community, and connections to community</w:t>
          </w:r>
          <w:r>
            <w:rPr>
              <w:color w:val="000000"/>
            </w:rPr>
            <w:noBreakHyphen/>
          </w:r>
          <w:r w:rsidRPr="007915E1">
            <w:rPr>
              <w:color w:val="000000"/>
            </w:rPr>
            <w:t xml:space="preserve">based health care, treatment, and employment services. </w:t>
          </w:r>
        </w:p>
        <w:p w:rsidR="000E7CB2" w:rsidRPr="007915E1" w:rsidRDefault="000E7CB2" w:rsidP="000E7CB2">
          <w:pPr>
            <w:pStyle w:val="NormalWeb"/>
            <w:spacing w:before="0" w:beforeAutospacing="0" w:after="0" w:afterAutospacing="0"/>
            <w:jc w:val="both"/>
            <w:divId w:val="404574563"/>
            <w:rPr>
              <w:color w:val="000000"/>
            </w:rPr>
          </w:pPr>
        </w:p>
        <w:p w:rsidR="000E7CB2" w:rsidRDefault="000E7CB2" w:rsidP="000E7CB2">
          <w:pPr>
            <w:pStyle w:val="NormalWeb"/>
            <w:spacing w:before="0" w:beforeAutospacing="0" w:after="0" w:afterAutospacing="0"/>
            <w:jc w:val="both"/>
            <w:divId w:val="404574563"/>
            <w:rPr>
              <w:color w:val="000000"/>
            </w:rPr>
          </w:pPr>
          <w:r>
            <w:rPr>
              <w:color w:val="000000"/>
            </w:rPr>
            <w:t>The most common way to provide permanent supportive h</w:t>
          </w:r>
          <w:r w:rsidRPr="007915E1">
            <w:rPr>
              <w:color w:val="000000"/>
            </w:rPr>
            <w:t>ousing units is through the Low Income Housin</w:t>
          </w:r>
          <w:r>
            <w:rPr>
              <w:color w:val="000000"/>
            </w:rPr>
            <w:t>g Tax Credit program. From 2012–</w:t>
          </w:r>
          <w:r w:rsidRPr="007915E1">
            <w:rPr>
              <w:color w:val="000000"/>
            </w:rPr>
            <w:t xml:space="preserve">2018, </w:t>
          </w:r>
          <w:r>
            <w:rPr>
              <w:color w:val="000000"/>
            </w:rPr>
            <w:t>10</w:t>
          </w:r>
          <w:r w:rsidRPr="007915E1">
            <w:rPr>
              <w:color w:val="000000"/>
            </w:rPr>
            <w:t xml:space="preserve"> developments received tax credit awards totaling 914 units. According to the Texas Homeless Network, more than 25,000 Texans were experiencing homelessness based on the January 2018 Point-in-Time Count. There </w:t>
          </w:r>
          <w:r>
            <w:rPr>
              <w:color w:val="000000"/>
            </w:rPr>
            <w:t>is a  significant gap between the permanent supportive h</w:t>
          </w:r>
          <w:r w:rsidRPr="007915E1">
            <w:rPr>
              <w:color w:val="000000"/>
            </w:rPr>
            <w:t>ousing units being created and the need for these units.</w:t>
          </w:r>
        </w:p>
        <w:p w:rsidR="000E7CB2" w:rsidRPr="007915E1" w:rsidRDefault="000E7CB2" w:rsidP="000E7CB2">
          <w:pPr>
            <w:pStyle w:val="NormalWeb"/>
            <w:spacing w:before="0" w:beforeAutospacing="0" w:after="0" w:afterAutospacing="0"/>
            <w:jc w:val="both"/>
            <w:divId w:val="404574563"/>
            <w:rPr>
              <w:color w:val="000000"/>
            </w:rPr>
          </w:pPr>
        </w:p>
        <w:p w:rsidR="000E7CB2" w:rsidRDefault="000E7CB2" w:rsidP="000E7CB2">
          <w:pPr>
            <w:pStyle w:val="NormalWeb"/>
            <w:spacing w:before="0" w:beforeAutospacing="0" w:after="0" w:afterAutospacing="0"/>
            <w:jc w:val="both"/>
            <w:divId w:val="404574563"/>
            <w:rPr>
              <w:color w:val="000000"/>
            </w:rPr>
          </w:pPr>
          <w:r w:rsidRPr="007915E1">
            <w:rPr>
              <w:color w:val="000000"/>
            </w:rPr>
            <w:t>Interested parties belie</w:t>
          </w:r>
          <w:r>
            <w:rPr>
              <w:color w:val="000000"/>
            </w:rPr>
            <w:t>ve the best way to create more permanent supportive h</w:t>
          </w:r>
          <w:r w:rsidRPr="007915E1">
            <w:rPr>
              <w:color w:val="000000"/>
            </w:rPr>
            <w:t>ousing units is by having a mechanism to allow for more private investment in these developments.</w:t>
          </w:r>
        </w:p>
        <w:p w:rsidR="000E7CB2" w:rsidRPr="007915E1" w:rsidRDefault="000E7CB2" w:rsidP="000E7CB2">
          <w:pPr>
            <w:pStyle w:val="NormalWeb"/>
            <w:spacing w:before="0" w:beforeAutospacing="0" w:after="0" w:afterAutospacing="0"/>
            <w:jc w:val="both"/>
            <w:divId w:val="404574563"/>
            <w:rPr>
              <w:color w:val="000000"/>
            </w:rPr>
          </w:pPr>
        </w:p>
        <w:p w:rsidR="000E7CB2" w:rsidRPr="007915E1" w:rsidRDefault="000E7CB2" w:rsidP="000E7CB2">
          <w:pPr>
            <w:pStyle w:val="NormalWeb"/>
            <w:spacing w:before="0" w:beforeAutospacing="0" w:after="0" w:afterAutospacing="0"/>
            <w:jc w:val="both"/>
            <w:divId w:val="404574563"/>
            <w:rPr>
              <w:color w:val="000000"/>
            </w:rPr>
          </w:pPr>
          <w:r w:rsidRPr="007915E1">
            <w:rPr>
              <w:color w:val="000000"/>
            </w:rPr>
            <w:t>S</w:t>
          </w:r>
          <w:r>
            <w:rPr>
              <w:color w:val="000000"/>
            </w:rPr>
            <w:t>.</w:t>
          </w:r>
          <w:r w:rsidRPr="007915E1">
            <w:rPr>
              <w:color w:val="000000"/>
            </w:rPr>
            <w:t>B</w:t>
          </w:r>
          <w:r>
            <w:rPr>
              <w:color w:val="000000"/>
            </w:rPr>
            <w:t>.</w:t>
          </w:r>
          <w:r w:rsidRPr="007915E1">
            <w:rPr>
              <w:color w:val="000000"/>
            </w:rPr>
            <w:t xml:space="preserve"> 1116 provides for a state tax credit system that would be administered by the Texas State Affordable Housi</w:t>
          </w:r>
          <w:r>
            <w:rPr>
              <w:color w:val="000000"/>
            </w:rPr>
            <w:t>ng Corporation (TSAHC) and the comptroller of public a</w:t>
          </w:r>
          <w:r w:rsidRPr="007915E1">
            <w:rPr>
              <w:color w:val="000000"/>
            </w:rPr>
            <w:t>ccounts</w:t>
          </w:r>
          <w:r>
            <w:rPr>
              <w:color w:val="000000"/>
            </w:rPr>
            <w:t xml:space="preserve"> of the State of Texas</w:t>
          </w:r>
          <w:r w:rsidRPr="007915E1">
            <w:rPr>
              <w:color w:val="000000"/>
            </w:rPr>
            <w:t>. TSAHC would have the abil</w:t>
          </w:r>
          <w:r>
            <w:rPr>
              <w:color w:val="000000"/>
            </w:rPr>
            <w:t>ity to certify developments as permanent supportive h</w:t>
          </w:r>
          <w:r w:rsidRPr="007915E1">
            <w:rPr>
              <w:color w:val="000000"/>
            </w:rPr>
            <w:t xml:space="preserve">ousing eligible and award credits that could be assigned to an entity with an insurance premium tax liability under Chapter 222 of the Insurance Code. The total credits available would be capped at $5 million annually. </w:t>
          </w:r>
        </w:p>
        <w:p w:rsidR="000E7CB2" w:rsidRPr="00D70925" w:rsidRDefault="000E7CB2" w:rsidP="000E7CB2">
          <w:pPr>
            <w:spacing w:after="0" w:line="240" w:lineRule="auto"/>
            <w:jc w:val="both"/>
            <w:rPr>
              <w:rFonts w:eastAsia="Times New Roman" w:cs="Times New Roman"/>
              <w:bCs/>
              <w:szCs w:val="24"/>
            </w:rPr>
          </w:pPr>
        </w:p>
      </w:sdtContent>
    </w:sdt>
    <w:p w:rsidR="000E7CB2" w:rsidRDefault="000E7CB2" w:rsidP="00CB106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1116 </w:t>
      </w:r>
      <w:bookmarkStart w:id="1" w:name="AmendsCurrentLaw"/>
      <w:bookmarkEnd w:id="1"/>
      <w:r>
        <w:rPr>
          <w:rFonts w:cs="Times New Roman"/>
          <w:szCs w:val="24"/>
        </w:rPr>
        <w:t>amends current law relating to insurance premium tax credits for the construction or rehabilitation of a supportive housing property.</w:t>
      </w:r>
    </w:p>
    <w:p w:rsidR="000E7CB2" w:rsidRPr="007915E1" w:rsidRDefault="000E7CB2" w:rsidP="00CB106E">
      <w:pPr>
        <w:spacing w:after="0" w:line="240" w:lineRule="auto"/>
        <w:jc w:val="both"/>
        <w:rPr>
          <w:rFonts w:eastAsia="Times New Roman" w:cs="Times New Roman"/>
          <w:szCs w:val="24"/>
        </w:rPr>
      </w:pPr>
    </w:p>
    <w:p w:rsidR="000E7CB2" w:rsidRPr="005C2A78" w:rsidRDefault="000E7CB2" w:rsidP="00CB106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59100BCFF04624A71B4639641DCD57"/>
          </w:placeholder>
        </w:sdtPr>
        <w:sdtContent>
          <w:r>
            <w:rPr>
              <w:rFonts w:eastAsia="Times New Roman" w:cs="Times New Roman"/>
              <w:b/>
              <w:szCs w:val="24"/>
              <w:u w:val="single"/>
            </w:rPr>
            <w:t>RULEMAKING AUTHORITY</w:t>
          </w:r>
        </w:sdtContent>
      </w:sdt>
    </w:p>
    <w:p w:rsidR="000E7CB2" w:rsidRPr="006529C4" w:rsidRDefault="000E7CB2" w:rsidP="00CB106E">
      <w:pPr>
        <w:spacing w:after="0" w:line="240" w:lineRule="auto"/>
        <w:jc w:val="both"/>
        <w:rPr>
          <w:rFonts w:cs="Times New Roman"/>
          <w:szCs w:val="24"/>
        </w:rPr>
      </w:pPr>
    </w:p>
    <w:p w:rsidR="000E7CB2" w:rsidRDefault="000E7CB2" w:rsidP="00CB106E">
      <w:pPr>
        <w:spacing w:after="0" w:line="240" w:lineRule="auto"/>
        <w:jc w:val="both"/>
        <w:rPr>
          <w:rFonts w:cs="Times New Roman"/>
          <w:szCs w:val="24"/>
        </w:rPr>
      </w:pPr>
      <w:r>
        <w:rPr>
          <w:rFonts w:cs="Times New Roman"/>
          <w:szCs w:val="24"/>
        </w:rPr>
        <w:t>Rulemaking authority is expressly granted to the Texas State Affordable Housing Corporation (TSAHC) in SECTION 1 (Section 234.004, Insurance Code) of this bill.</w:t>
      </w:r>
    </w:p>
    <w:p w:rsidR="000E7CB2" w:rsidRDefault="000E7CB2" w:rsidP="00CB106E">
      <w:pPr>
        <w:spacing w:after="0" w:line="240" w:lineRule="auto"/>
        <w:jc w:val="both"/>
        <w:rPr>
          <w:rFonts w:cs="Times New Roman"/>
          <w:szCs w:val="24"/>
        </w:rPr>
      </w:pPr>
    </w:p>
    <w:p w:rsidR="000E7CB2" w:rsidRPr="006529C4" w:rsidRDefault="000E7CB2" w:rsidP="00CB106E">
      <w:pPr>
        <w:spacing w:after="0" w:line="240" w:lineRule="auto"/>
        <w:jc w:val="both"/>
        <w:rPr>
          <w:rFonts w:cs="Times New Roman"/>
          <w:szCs w:val="24"/>
        </w:rPr>
      </w:pPr>
      <w:r>
        <w:rPr>
          <w:rFonts w:cs="Times New Roman"/>
          <w:szCs w:val="24"/>
        </w:rPr>
        <w:t>Rulemaking authority is expressly granted to TSAHC and the comptroller of public accounts of the State of Texas in SECTION 1 (Section 234.010, Insurance Code) of this bill.</w:t>
      </w:r>
    </w:p>
    <w:p w:rsidR="000E7CB2" w:rsidRPr="006529C4" w:rsidRDefault="000E7CB2" w:rsidP="00CB106E">
      <w:pPr>
        <w:spacing w:after="0" w:line="240" w:lineRule="auto"/>
        <w:jc w:val="both"/>
        <w:rPr>
          <w:rFonts w:cs="Times New Roman"/>
          <w:szCs w:val="24"/>
        </w:rPr>
      </w:pPr>
    </w:p>
    <w:p w:rsidR="000E7CB2" w:rsidRPr="005C2A78" w:rsidRDefault="000E7CB2" w:rsidP="00CB106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07D06880124BBE939A3C59DCFCA259"/>
          </w:placeholder>
        </w:sdtPr>
        <w:sdtContent>
          <w:r>
            <w:rPr>
              <w:rFonts w:eastAsia="Times New Roman" w:cs="Times New Roman"/>
              <w:b/>
              <w:szCs w:val="24"/>
              <w:u w:val="single"/>
            </w:rPr>
            <w:t>SECTION BY SECTION ANALYSIS</w:t>
          </w:r>
        </w:sdtContent>
      </w:sdt>
    </w:p>
    <w:p w:rsidR="000E7CB2" w:rsidRPr="005C2A78" w:rsidRDefault="000E7CB2" w:rsidP="00CB106E">
      <w:pPr>
        <w:spacing w:after="0" w:line="240" w:lineRule="auto"/>
        <w:jc w:val="both"/>
        <w:rPr>
          <w:rFonts w:eastAsia="Times New Roman" w:cs="Times New Roman"/>
          <w:szCs w:val="24"/>
        </w:rPr>
      </w:pPr>
    </w:p>
    <w:p w:rsidR="000E7CB2" w:rsidRDefault="000E7CB2" w:rsidP="00CB10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3, Insurance Code, by adding Chapter 234, as follows:</w:t>
      </w:r>
    </w:p>
    <w:p w:rsidR="000E7CB2" w:rsidRDefault="000E7CB2" w:rsidP="00CB106E">
      <w:pPr>
        <w:spacing w:after="0" w:line="240" w:lineRule="auto"/>
        <w:jc w:val="both"/>
        <w:rPr>
          <w:rFonts w:eastAsia="Times New Roman" w:cs="Times New Roman"/>
          <w:szCs w:val="24"/>
        </w:rPr>
      </w:pPr>
    </w:p>
    <w:p w:rsidR="000E7CB2" w:rsidRDefault="000E7CB2" w:rsidP="00CB106E">
      <w:pPr>
        <w:spacing w:after="0" w:line="240" w:lineRule="auto"/>
        <w:ind w:left="720"/>
        <w:jc w:val="center"/>
        <w:rPr>
          <w:rFonts w:eastAsia="Times New Roman" w:cs="Times New Roman"/>
          <w:szCs w:val="24"/>
        </w:rPr>
      </w:pPr>
      <w:r>
        <w:rPr>
          <w:rFonts w:eastAsia="Times New Roman" w:cs="Times New Roman"/>
          <w:szCs w:val="24"/>
        </w:rPr>
        <w:t>CHAPTER 234. PREMIUM TAX CREDIT FOR CONSTRUCTION OR REHABILITATION OF SUPPORTIVE HOUSING PROPERTY</w:t>
      </w:r>
    </w:p>
    <w:p w:rsidR="000E7CB2" w:rsidRDefault="000E7CB2" w:rsidP="00CB106E">
      <w:pPr>
        <w:spacing w:after="0" w:line="240" w:lineRule="auto"/>
        <w:ind w:left="720"/>
        <w:jc w:val="center"/>
        <w:rPr>
          <w:rFonts w:eastAsia="Times New Roman" w:cs="Times New Roman"/>
          <w:szCs w:val="24"/>
        </w:rPr>
      </w:pPr>
    </w:p>
    <w:p w:rsidR="000E7CB2" w:rsidRDefault="000E7CB2" w:rsidP="00CB106E">
      <w:pPr>
        <w:spacing w:after="0" w:line="240" w:lineRule="auto"/>
        <w:ind w:left="720"/>
        <w:jc w:val="both"/>
        <w:rPr>
          <w:rFonts w:eastAsia="Times New Roman" w:cs="Times New Roman"/>
          <w:szCs w:val="24"/>
        </w:rPr>
      </w:pPr>
      <w:r>
        <w:rPr>
          <w:rFonts w:eastAsia="Times New Roman" w:cs="Times New Roman"/>
          <w:szCs w:val="24"/>
        </w:rPr>
        <w:t>Sec. 234.001. DEFINITIONS. Defines "corporation" as the Texas State Affordable Housing Corporation (TSAHC) and defines "eligible costs and expenses," "state premium tax liability," and "supportive housing property" for purposes of this chapter.</w:t>
      </w:r>
    </w:p>
    <w:p w:rsidR="000E7CB2" w:rsidRDefault="000E7CB2" w:rsidP="00CB106E">
      <w:pPr>
        <w:spacing w:after="0" w:line="240" w:lineRule="auto"/>
        <w:ind w:left="720"/>
        <w:jc w:val="both"/>
        <w:rPr>
          <w:rFonts w:eastAsia="Times New Roman" w:cs="Times New Roman"/>
          <w:szCs w:val="24"/>
        </w:rPr>
      </w:pPr>
    </w:p>
    <w:p w:rsidR="000E7CB2" w:rsidRDefault="000E7CB2" w:rsidP="00CB106E">
      <w:pPr>
        <w:spacing w:after="0" w:line="240" w:lineRule="auto"/>
        <w:ind w:left="720"/>
        <w:jc w:val="both"/>
        <w:rPr>
          <w:rFonts w:eastAsia="Times New Roman" w:cs="Times New Roman"/>
          <w:szCs w:val="24"/>
        </w:rPr>
      </w:pPr>
      <w:r>
        <w:rPr>
          <w:rFonts w:eastAsia="Times New Roman" w:cs="Times New Roman"/>
          <w:szCs w:val="24"/>
        </w:rPr>
        <w:t>Sec. 234.002. ELIGIBILITY FOR CREDIT. Provides that an entity is eligible to apply for and claim a credit against state premium tax liability in the amount and under the conditions and limitations provided by this chapter.</w:t>
      </w:r>
    </w:p>
    <w:p w:rsidR="000E7CB2" w:rsidRDefault="000E7CB2" w:rsidP="00CB106E">
      <w:pPr>
        <w:spacing w:after="0" w:line="240" w:lineRule="auto"/>
        <w:ind w:left="720"/>
        <w:jc w:val="both"/>
        <w:rPr>
          <w:rFonts w:eastAsia="Times New Roman" w:cs="Times New Roman"/>
          <w:szCs w:val="24"/>
        </w:rPr>
      </w:pPr>
    </w:p>
    <w:p w:rsidR="000E7CB2" w:rsidRDefault="000E7CB2" w:rsidP="00CB106E">
      <w:pPr>
        <w:spacing w:after="0" w:line="240" w:lineRule="auto"/>
        <w:ind w:left="720"/>
        <w:jc w:val="both"/>
        <w:rPr>
          <w:rFonts w:eastAsia="Times New Roman" w:cs="Times New Roman"/>
          <w:szCs w:val="24"/>
        </w:rPr>
      </w:pPr>
      <w:r>
        <w:rPr>
          <w:rFonts w:eastAsia="Times New Roman" w:cs="Times New Roman"/>
          <w:szCs w:val="24"/>
        </w:rPr>
        <w:t>Sec. 234.003. QUALIFICATION. (a) Provides that an entity is eligible for a credit for eligible costs and expenses incurred in the construction or rehabilitation of a supportive housing property as provided by this chapter if the supportive housing property is placed in service on or after September 1, 2019, and the total amount of the eligible costs and expenses incurred by the entity exceeds $5,000.</w:t>
      </w:r>
    </w:p>
    <w:p w:rsidR="000E7CB2" w:rsidRDefault="000E7CB2" w:rsidP="00CB106E">
      <w:pPr>
        <w:spacing w:after="0" w:line="240" w:lineRule="auto"/>
        <w:ind w:left="72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(b) Authorizes an entity to receive a credit under this chapter regardless of whether the entity incurs state premium tax liability.</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720"/>
        <w:jc w:val="both"/>
        <w:rPr>
          <w:rFonts w:eastAsia="Times New Roman" w:cs="Times New Roman"/>
          <w:szCs w:val="24"/>
        </w:rPr>
      </w:pPr>
      <w:r>
        <w:rPr>
          <w:rFonts w:eastAsia="Times New Roman" w:cs="Times New Roman"/>
          <w:szCs w:val="24"/>
        </w:rPr>
        <w:t xml:space="preserve">Sec. 234.004. CERTIFICATION OF ELIGIBILITY. (a) Requires the entity that constructed or rehabilitated the supportive housing property, before applying for, claiming, selling, or assigning a credit under this chapter, to request from </w:t>
      </w:r>
      <w:r>
        <w:rPr>
          <w:rFonts w:cs="Times New Roman"/>
          <w:szCs w:val="24"/>
        </w:rPr>
        <w:t>TSAHC</w:t>
      </w:r>
      <w:r>
        <w:rPr>
          <w:rFonts w:eastAsia="Times New Roman" w:cs="Times New Roman"/>
          <w:szCs w:val="24"/>
        </w:rPr>
        <w:t xml:space="preserve"> a certificate of eligibility on which TSAHC certifies that the costs and expenses incurred meet the definition of eligible costs and expenses. Requires the entity to include with the entity's request information on the property that is sufficient for TSAHC to determine whether the property meets the definition of a supportive housing property.</w:t>
      </w:r>
    </w:p>
    <w:p w:rsidR="000E7CB2" w:rsidRDefault="000E7CB2" w:rsidP="00CB106E">
      <w:pPr>
        <w:spacing w:after="0" w:line="240" w:lineRule="auto"/>
        <w:ind w:left="72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(b) Requires TSAHC to issue a certificate of eligibility to an entity that has incurred eligible costs and expenses as provided by this chapter. Requires the certificate to confirm that the property to which the eligible costs and expenses relate is supportive housing property and to estimate the date the supportive housing property will be placed in service.</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(c) Requires TSAHC by rule to prescribe procedures by which TSAHC is authorized to allocate credits under this chapter. Prohibits TSAHC from certifying eligible costs and expenses that exceed the annual limit provided by Section 234.005(d).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(d) Requires the entity to forward the certificate of eligibility and the following documentation to the comptroller of public accounts of the State of Texas (comptroller) to apply for the tax credit:</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2160"/>
        <w:jc w:val="both"/>
        <w:rPr>
          <w:rFonts w:eastAsia="Times New Roman" w:cs="Times New Roman"/>
          <w:szCs w:val="24"/>
        </w:rPr>
      </w:pPr>
      <w:r>
        <w:rPr>
          <w:rFonts w:eastAsia="Times New Roman" w:cs="Times New Roman"/>
          <w:szCs w:val="24"/>
        </w:rPr>
        <w:t>(1) an audited cost report issued by a certified public accountant, as defined by Section 901.002 (General Definitions), Occupations Code, that itemizes the eligible costs and expenses incurred in the construction or rehabilitation of the supportive housing property by the entity; and</w:t>
      </w:r>
    </w:p>
    <w:p w:rsidR="000E7CB2" w:rsidRDefault="000E7CB2" w:rsidP="00CB106E">
      <w:pPr>
        <w:spacing w:after="0" w:line="240" w:lineRule="auto"/>
        <w:ind w:left="2160"/>
        <w:jc w:val="both"/>
        <w:rPr>
          <w:rFonts w:eastAsia="Times New Roman" w:cs="Times New Roman"/>
          <w:szCs w:val="24"/>
        </w:rPr>
      </w:pPr>
    </w:p>
    <w:p w:rsidR="000E7CB2" w:rsidRDefault="000E7CB2" w:rsidP="00CB106E">
      <w:pPr>
        <w:spacing w:after="0" w:line="240" w:lineRule="auto"/>
        <w:ind w:left="2160"/>
        <w:jc w:val="both"/>
        <w:rPr>
          <w:rFonts w:eastAsia="Times New Roman" w:cs="Times New Roman"/>
          <w:szCs w:val="24"/>
        </w:rPr>
      </w:pPr>
      <w:r>
        <w:rPr>
          <w:rFonts w:eastAsia="Times New Roman" w:cs="Times New Roman"/>
          <w:szCs w:val="24"/>
        </w:rPr>
        <w:t>(2) an attestation of the total eligible costs and expenses incurred by the entity in the construction or rehabilitation of the supportive housing property.</w:t>
      </w:r>
    </w:p>
    <w:p w:rsidR="000E7CB2" w:rsidRDefault="000E7CB2" w:rsidP="00CB106E">
      <w:pPr>
        <w:spacing w:after="0" w:line="240" w:lineRule="auto"/>
        <w:ind w:left="216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(e) Authorizes the comptroller, for purposes of approving the tax credit under Subsection (d), to rely on the audited cost report provided by the entity that requested the tax credit.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(f) Requires an entity that sells or assigns a credit under this chapter to another entity to provide a copy of the certification of eligibility, together with the audited cost report, to the purchaser or assignee.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720"/>
        <w:jc w:val="both"/>
        <w:rPr>
          <w:rFonts w:eastAsia="Times New Roman" w:cs="Times New Roman"/>
          <w:szCs w:val="24"/>
        </w:rPr>
      </w:pPr>
      <w:r>
        <w:rPr>
          <w:rFonts w:eastAsia="Times New Roman" w:cs="Times New Roman"/>
          <w:szCs w:val="24"/>
        </w:rPr>
        <w:t>Sec. 234.005. AMOUNT OF CREDIT; LIMITATIONS. (a) Prohibits the total amount of the credit under this chapter with respect to the construction or rehabilitation of a single supportive housing property that is authorized to be claimed from exceeding 20 percent of the total eligible costs and expenses incurred in the construction or rehabilitation of the supportive housing property.</w:t>
      </w:r>
    </w:p>
    <w:p w:rsidR="000E7CB2" w:rsidRDefault="000E7CB2" w:rsidP="00CB106E">
      <w:pPr>
        <w:spacing w:after="0" w:line="240" w:lineRule="auto"/>
        <w:ind w:left="72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(b) Prohibits the total credit that is authorized to be claimed on a report, including the amount of any carryforward under Section 234.006, from exceeding the amount of state premium tax liability due for the report after any other applicable tax credits.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(c) Authorizes eligible costs and expenses to only be counted once in determining the amount of the tax credit available, and prohibits more than one entity is from claiming a credit for the same eligible costs and expenses.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(d) Prohibits the total amount of tax credits that are authorized to be claimed by all entities under this chapter from exceeding $5 million in a state fiscal year.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720"/>
        <w:jc w:val="both"/>
        <w:rPr>
          <w:rFonts w:eastAsia="Times New Roman" w:cs="Times New Roman"/>
          <w:szCs w:val="24"/>
        </w:rPr>
      </w:pPr>
      <w:r>
        <w:rPr>
          <w:rFonts w:eastAsia="Times New Roman" w:cs="Times New Roman"/>
          <w:szCs w:val="24"/>
        </w:rPr>
        <w:t>Sec. 234.006. CARRYFORWARD. (a) Authorizes an entity, if the entity is eligible for a credit that exceeds the limitation under Section 234.005(b), to carry the unused credit forward for not more than five consecutive reports.</w:t>
      </w:r>
    </w:p>
    <w:p w:rsidR="000E7CB2" w:rsidRDefault="000E7CB2" w:rsidP="00CB106E">
      <w:pPr>
        <w:spacing w:after="0" w:line="240" w:lineRule="auto"/>
        <w:ind w:left="72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(b) Provides that a carryforward is considered the remaining portion of a credit that cannot be claimed in the current year because of the limitation under Section 234.005(b).</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720"/>
        <w:jc w:val="both"/>
        <w:rPr>
          <w:rFonts w:eastAsia="Times New Roman" w:cs="Times New Roman"/>
          <w:szCs w:val="24"/>
        </w:rPr>
      </w:pPr>
      <w:r>
        <w:rPr>
          <w:rFonts w:eastAsia="Times New Roman" w:cs="Times New Roman"/>
          <w:szCs w:val="24"/>
        </w:rPr>
        <w:t>Sec. 234.007. APPLICATION FOR CREDIT; CLAIMING CREDIT. (a) Requires an entity to apply for a credit under this chapter on a form promulgated by the comptroller for that purpose.</w:t>
      </w:r>
    </w:p>
    <w:p w:rsidR="000E7CB2" w:rsidRDefault="000E7CB2" w:rsidP="00CB106E">
      <w:pPr>
        <w:spacing w:after="0" w:line="240" w:lineRule="auto"/>
        <w:ind w:left="72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(b) Requires an entity to include with the application a copy of the certificate of eligibility issued by TSAHC as required by Section 234.004(d) and any other information required by the comptroller to sufficiently demonstrate the entity is eligible for the credit and to determine the amount of the credit.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(c) Provides that the burden of establishing eligibility for and the value of the credit is on the entity. </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(d) Requires the comptroller to issue a credit certificate to an entity the comptroller determines is eligible for a credit under this chapter indicating that the entity is the owner of the credit and the amount of credit available to the entity.</w:t>
      </w:r>
    </w:p>
    <w:p w:rsidR="000E7CB2" w:rsidRDefault="000E7CB2" w:rsidP="00CB106E">
      <w:pPr>
        <w:spacing w:after="0" w:line="240" w:lineRule="auto"/>
        <w:ind w:left="1440"/>
        <w:jc w:val="both"/>
        <w:rPr>
          <w:rFonts w:eastAsia="Times New Roman" w:cs="Times New Roman"/>
          <w:szCs w:val="24"/>
        </w:rPr>
      </w:pPr>
    </w:p>
    <w:p w:rsidR="000E7CB2" w:rsidRDefault="000E7CB2" w:rsidP="00CB106E">
      <w:pPr>
        <w:spacing w:after="0" w:line="240" w:lineRule="auto"/>
        <w:ind w:left="1440"/>
        <w:jc w:val="both"/>
        <w:rPr>
          <w:rFonts w:eastAsia="Times New Roman" w:cs="Times New Roman"/>
          <w:szCs w:val="24"/>
        </w:rPr>
      </w:pPr>
      <w:r>
        <w:rPr>
          <w:rFonts w:eastAsia="Times New Roman" w:cs="Times New Roman"/>
          <w:szCs w:val="24"/>
        </w:rPr>
        <w:t xml:space="preserve">(e) Authorizes an entity to claim a credit under this chapter on or with the report due under Section 222.005 (Tax Report). Requires the entity to include with each report on which a credit is claimed the certificate issued by the comptroller under Subsection (d). </w:t>
      </w:r>
    </w:p>
    <w:p w:rsidR="000E7CB2" w:rsidRPr="007915E1" w:rsidRDefault="000E7CB2" w:rsidP="00CB106E">
      <w:pPr>
        <w:pStyle w:val="NoSpacing"/>
        <w:jc w:val="both"/>
        <w:rPr>
          <w:rFonts w:eastAsia="Times New Roman"/>
        </w:rPr>
      </w:pPr>
    </w:p>
    <w:p w:rsidR="000E7CB2" w:rsidRDefault="000E7CB2" w:rsidP="00CB106E">
      <w:pPr>
        <w:pStyle w:val="NoSpacing"/>
        <w:ind w:left="720"/>
        <w:jc w:val="both"/>
        <w:rPr>
          <w:color w:val="333333"/>
          <w:shd w:val="clear" w:color="auto" w:fill="FFFFFF"/>
        </w:rPr>
      </w:pPr>
      <w:r w:rsidRPr="007915E1">
        <w:rPr>
          <w:rFonts w:eastAsia="Times New Roman"/>
        </w:rPr>
        <w:t>Sec. 234.008. SALE OR ASSIGNMENT OF CREDIT. (a)</w:t>
      </w:r>
      <w:r>
        <w:rPr>
          <w:rFonts w:eastAsia="Times New Roman"/>
        </w:rPr>
        <w:t xml:space="preserve"> Authorizes</w:t>
      </w:r>
      <w:r w:rsidRPr="007915E1">
        <w:rPr>
          <w:rFonts w:eastAsia="Times New Roman"/>
        </w:rPr>
        <w:t xml:space="preserve"> </w:t>
      </w:r>
      <w:r>
        <w:rPr>
          <w:color w:val="333333"/>
          <w:shd w:val="clear" w:color="auto" w:fill="FFFFFF"/>
        </w:rPr>
        <w:t>a</w:t>
      </w:r>
      <w:r w:rsidRPr="007915E1">
        <w:rPr>
          <w:color w:val="333333"/>
          <w:shd w:val="clear" w:color="auto" w:fill="FFFFFF"/>
        </w:rPr>
        <w:t>n entity that incurs eligible costs and</w:t>
      </w:r>
      <w:r>
        <w:rPr>
          <w:color w:val="333333"/>
          <w:shd w:val="clear" w:color="auto" w:fill="FFFFFF"/>
        </w:rPr>
        <w:t xml:space="preserve"> expenses to</w:t>
      </w:r>
      <w:r w:rsidRPr="007915E1">
        <w:rPr>
          <w:color w:val="333333"/>
          <w:shd w:val="clear" w:color="auto" w:fill="FFFFFF"/>
        </w:rPr>
        <w:t xml:space="preserve"> sell or assign al</w:t>
      </w:r>
      <w:r>
        <w:rPr>
          <w:color w:val="333333"/>
          <w:shd w:val="clear" w:color="auto" w:fill="FFFFFF"/>
        </w:rPr>
        <w:t>l or part of the credit that is authorized to</w:t>
      </w:r>
      <w:r w:rsidRPr="007915E1">
        <w:rPr>
          <w:color w:val="333333"/>
          <w:shd w:val="clear" w:color="auto" w:fill="FFFFFF"/>
        </w:rPr>
        <w:t xml:space="preserve"> be claimed for those costs and expenses to one or more entities, and </w:t>
      </w:r>
      <w:r>
        <w:rPr>
          <w:color w:val="333333"/>
          <w:shd w:val="clear" w:color="auto" w:fill="FFFFFF"/>
        </w:rPr>
        <w:t xml:space="preserve">authorizes </w:t>
      </w:r>
      <w:r w:rsidRPr="007915E1">
        <w:rPr>
          <w:color w:val="333333"/>
          <w:shd w:val="clear" w:color="auto" w:fill="FFFFFF"/>
        </w:rPr>
        <w:t>any entity to which all or part of th</w:t>
      </w:r>
      <w:r>
        <w:rPr>
          <w:color w:val="333333"/>
          <w:shd w:val="clear" w:color="auto" w:fill="FFFFFF"/>
        </w:rPr>
        <w:t>e credit is sold or assigned to</w:t>
      </w:r>
      <w:r w:rsidRPr="007915E1">
        <w:rPr>
          <w:color w:val="333333"/>
          <w:shd w:val="clear" w:color="auto" w:fill="FFFFFF"/>
        </w:rPr>
        <w:t xml:space="preserve"> sell or assign all or part of the credit to another entity. </w:t>
      </w:r>
      <w:r>
        <w:rPr>
          <w:color w:val="333333"/>
          <w:shd w:val="clear" w:color="auto" w:fill="FFFFFF"/>
        </w:rPr>
        <w:t>Provides that t</w:t>
      </w:r>
      <w:r w:rsidRPr="007915E1">
        <w:rPr>
          <w:color w:val="333333"/>
          <w:shd w:val="clear" w:color="auto" w:fill="FFFFFF"/>
        </w:rPr>
        <w:t>here is no limit on the total number of transactions for the sale or assignment of all or part of the total credit authorized under this chapter</w:t>
      </w:r>
      <w:r>
        <w:rPr>
          <w:color w:val="333333"/>
          <w:shd w:val="clear" w:color="auto" w:fill="FFFFFF"/>
        </w:rPr>
        <w:t xml:space="preserve">, but provides that </w:t>
      </w:r>
      <w:r w:rsidRPr="007915E1">
        <w:rPr>
          <w:color w:val="333333"/>
          <w:shd w:val="clear" w:color="auto" w:fill="FFFFFF"/>
        </w:rPr>
        <w:t>collectively all transfers are subject to the maximum total limits provided by Section </w:t>
      </w:r>
      <w:r>
        <w:rPr>
          <w:color w:val="333333"/>
          <w:shd w:val="clear" w:color="auto" w:fill="FFFFFF"/>
        </w:rPr>
        <w:t>234.005.</w:t>
      </w:r>
    </w:p>
    <w:p w:rsidR="000E7CB2" w:rsidRDefault="000E7CB2" w:rsidP="00CB106E">
      <w:pPr>
        <w:pStyle w:val="NoSpacing"/>
        <w:ind w:left="720"/>
        <w:rPr>
          <w:color w:val="333333"/>
          <w:shd w:val="clear" w:color="auto" w:fill="FFFFFF"/>
        </w:rPr>
      </w:pPr>
    </w:p>
    <w:p w:rsidR="000E7CB2" w:rsidRDefault="000E7CB2" w:rsidP="00CB106E">
      <w:pPr>
        <w:pStyle w:val="NoSpacing"/>
        <w:ind w:left="1440"/>
        <w:jc w:val="both"/>
        <w:rPr>
          <w:rFonts w:cs="Times New Roman"/>
          <w:color w:val="333333"/>
          <w:szCs w:val="24"/>
          <w:shd w:val="clear" w:color="auto" w:fill="FFFFFF"/>
        </w:rPr>
      </w:pPr>
      <w:r>
        <w:rPr>
          <w:color w:val="333333"/>
          <w:shd w:val="clear" w:color="auto" w:fill="FFFFFF"/>
        </w:rPr>
        <w:t xml:space="preserve">(b) Requires an entity </w:t>
      </w:r>
      <w:r w:rsidRPr="007915E1">
        <w:rPr>
          <w:rFonts w:cs="Times New Roman"/>
          <w:color w:val="333333"/>
          <w:szCs w:val="24"/>
          <w:shd w:val="clear" w:color="auto" w:fill="FFFFFF"/>
        </w:rPr>
        <w:t xml:space="preserve">that sells or assigns a credit under this section and the entity to which the </w:t>
      </w:r>
      <w:r>
        <w:rPr>
          <w:rFonts w:cs="Times New Roman"/>
          <w:color w:val="333333"/>
          <w:szCs w:val="24"/>
          <w:shd w:val="clear" w:color="auto" w:fill="FFFFFF"/>
        </w:rPr>
        <w:t>credit is sold or assigned,</w:t>
      </w:r>
      <w:r w:rsidRPr="007915E1">
        <w:rPr>
          <w:rFonts w:cs="Times New Roman"/>
          <w:color w:val="333333"/>
          <w:szCs w:val="24"/>
          <w:shd w:val="clear" w:color="auto" w:fill="FFFFFF"/>
        </w:rPr>
        <w:t xml:space="preserve"> not later than the 30th day after the date of the sale or assignment</w:t>
      </w:r>
      <w:r>
        <w:rPr>
          <w:rFonts w:cs="Times New Roman"/>
          <w:color w:val="333333"/>
          <w:szCs w:val="24"/>
          <w:shd w:val="clear" w:color="auto" w:fill="FFFFFF"/>
        </w:rPr>
        <w:t>, to</w:t>
      </w:r>
      <w:r w:rsidRPr="007915E1">
        <w:rPr>
          <w:rFonts w:cs="Times New Roman"/>
          <w:color w:val="333333"/>
          <w:szCs w:val="24"/>
          <w:shd w:val="clear" w:color="auto" w:fill="FFFFFF"/>
        </w:rPr>
        <w:t xml:space="preserve"> jointly submit written notice of the sale or assignment to the comptroller on a form promulgated by the comptroller. </w:t>
      </w:r>
      <w:r>
        <w:rPr>
          <w:rFonts w:cs="Times New Roman"/>
          <w:color w:val="333333"/>
          <w:szCs w:val="24"/>
          <w:shd w:val="clear" w:color="auto" w:fill="FFFFFF"/>
        </w:rPr>
        <w:t>Requires the notice to include certain information.</w:t>
      </w:r>
    </w:p>
    <w:p w:rsidR="000E7CB2" w:rsidRDefault="000E7CB2" w:rsidP="00CB106E">
      <w:pPr>
        <w:pStyle w:val="NoSpacing"/>
        <w:ind w:left="1440"/>
        <w:jc w:val="both"/>
        <w:rPr>
          <w:rFonts w:cs="Times New Roman"/>
          <w:color w:val="333333"/>
          <w:szCs w:val="24"/>
          <w:shd w:val="clear" w:color="auto" w:fill="FFFFFF"/>
        </w:rPr>
      </w:pPr>
    </w:p>
    <w:p w:rsidR="000E7CB2" w:rsidRDefault="000E7CB2" w:rsidP="00CB106E">
      <w:pPr>
        <w:pStyle w:val="NoSpacing"/>
        <w:ind w:left="1440"/>
        <w:jc w:val="both"/>
        <w:rPr>
          <w:rFonts w:cs="Times New Roman"/>
          <w:color w:val="333333"/>
          <w:szCs w:val="24"/>
          <w:shd w:val="clear" w:color="auto" w:fill="FFFFFF"/>
        </w:rPr>
      </w:pPr>
      <w:r>
        <w:rPr>
          <w:rFonts w:cs="Times New Roman"/>
          <w:color w:val="333333"/>
          <w:szCs w:val="24"/>
          <w:shd w:val="clear" w:color="auto" w:fill="FFFFFF"/>
        </w:rPr>
        <w:t>(c) Provides that</w:t>
      </w:r>
      <w:r w:rsidRPr="007915E1">
        <w:rPr>
          <w:rFonts w:cs="Times New Roman"/>
          <w:color w:val="333333"/>
          <w:szCs w:val="24"/>
          <w:shd w:val="clear" w:color="auto" w:fill="FFFFFF"/>
        </w:rPr>
        <w:t xml:space="preserve"> </w:t>
      </w:r>
      <w:r>
        <w:rPr>
          <w:rFonts w:cs="Times New Roman"/>
          <w:color w:val="333333"/>
          <w:szCs w:val="24"/>
          <w:shd w:val="clear" w:color="auto" w:fill="FFFFFF"/>
        </w:rPr>
        <w:t>t</w:t>
      </w:r>
      <w:r w:rsidRPr="007915E1">
        <w:rPr>
          <w:rFonts w:cs="Times New Roman"/>
          <w:color w:val="333333"/>
          <w:szCs w:val="24"/>
          <w:shd w:val="clear" w:color="auto" w:fill="FFFFFF"/>
        </w:rPr>
        <w:t>he sale or assignment of a credit in accordance with this section does not extend t</w:t>
      </w:r>
      <w:r>
        <w:rPr>
          <w:rFonts w:cs="Times New Roman"/>
          <w:color w:val="333333"/>
          <w:szCs w:val="24"/>
          <w:shd w:val="clear" w:color="auto" w:fill="FFFFFF"/>
        </w:rPr>
        <w:t>he period for which a credit is authorized to</w:t>
      </w:r>
      <w:r w:rsidRPr="007915E1">
        <w:rPr>
          <w:rFonts w:cs="Times New Roman"/>
          <w:color w:val="333333"/>
          <w:szCs w:val="24"/>
          <w:shd w:val="clear" w:color="auto" w:fill="FFFFFF"/>
        </w:rPr>
        <w:t xml:space="preserve"> be carried forward and does not increase the tot</w:t>
      </w:r>
      <w:r>
        <w:rPr>
          <w:rFonts w:cs="Times New Roman"/>
          <w:color w:val="333333"/>
          <w:szCs w:val="24"/>
          <w:shd w:val="clear" w:color="auto" w:fill="FFFFFF"/>
        </w:rPr>
        <w:t>al amount of the credit that is authorized to</w:t>
      </w:r>
      <w:r w:rsidRPr="007915E1">
        <w:rPr>
          <w:rFonts w:cs="Times New Roman"/>
          <w:color w:val="333333"/>
          <w:szCs w:val="24"/>
          <w:shd w:val="clear" w:color="auto" w:fill="FFFFFF"/>
        </w:rPr>
        <w:t xml:space="preserve"> be claimed. </w:t>
      </w:r>
      <w:r>
        <w:rPr>
          <w:rFonts w:cs="Times New Roman"/>
          <w:color w:val="333333"/>
          <w:szCs w:val="24"/>
          <w:shd w:val="clear" w:color="auto" w:fill="FFFFFF"/>
        </w:rPr>
        <w:t>Prohibits another entity, after</w:t>
      </w:r>
      <w:r w:rsidRPr="007915E1">
        <w:rPr>
          <w:rFonts w:cs="Times New Roman"/>
          <w:color w:val="333333"/>
          <w:szCs w:val="24"/>
          <w:shd w:val="clear" w:color="auto" w:fill="FFFFFF"/>
        </w:rPr>
        <w:t xml:space="preserve"> an entity claims a credit for eligible costs and expenses, </w:t>
      </w:r>
      <w:r>
        <w:rPr>
          <w:rFonts w:cs="Times New Roman"/>
          <w:color w:val="333333"/>
          <w:szCs w:val="24"/>
          <w:shd w:val="clear" w:color="auto" w:fill="FFFFFF"/>
        </w:rPr>
        <w:t>from using</w:t>
      </w:r>
      <w:r w:rsidRPr="007915E1">
        <w:rPr>
          <w:rFonts w:cs="Times New Roman"/>
          <w:color w:val="333333"/>
          <w:szCs w:val="24"/>
          <w:shd w:val="clear" w:color="auto" w:fill="FFFFFF"/>
        </w:rPr>
        <w:t xml:space="preserve"> the same costs and expenses as the basis for claiming a credit.</w:t>
      </w:r>
    </w:p>
    <w:p w:rsidR="000E7CB2" w:rsidRDefault="000E7CB2" w:rsidP="00CB106E">
      <w:pPr>
        <w:pStyle w:val="NoSpacing"/>
        <w:ind w:left="1440"/>
        <w:jc w:val="both"/>
        <w:rPr>
          <w:rFonts w:cs="Times New Roman"/>
          <w:color w:val="333333"/>
          <w:szCs w:val="24"/>
          <w:shd w:val="clear" w:color="auto" w:fill="FFFFFF"/>
        </w:rPr>
      </w:pPr>
    </w:p>
    <w:p w:rsidR="000E7CB2" w:rsidRDefault="000E7CB2" w:rsidP="00CB106E">
      <w:pPr>
        <w:pStyle w:val="NoSpacing"/>
        <w:ind w:left="1440"/>
        <w:jc w:val="both"/>
        <w:rPr>
          <w:rFonts w:cs="Times New Roman"/>
          <w:color w:val="333333"/>
          <w:szCs w:val="24"/>
          <w:shd w:val="clear" w:color="auto" w:fill="FFFFFF"/>
        </w:rPr>
      </w:pPr>
      <w:r w:rsidRPr="007915E1">
        <w:rPr>
          <w:rFonts w:cs="Times New Roman"/>
          <w:color w:val="333333"/>
          <w:szCs w:val="24"/>
          <w:shd w:val="clear" w:color="auto" w:fill="FFFFFF"/>
        </w:rPr>
        <w:t xml:space="preserve">(d) </w:t>
      </w:r>
      <w:r>
        <w:rPr>
          <w:rFonts w:cs="Times New Roman"/>
          <w:color w:val="333333"/>
          <w:szCs w:val="24"/>
          <w:shd w:val="clear" w:color="auto" w:fill="FFFFFF"/>
        </w:rPr>
        <w:t>Authorizes</w:t>
      </w:r>
      <w:r w:rsidRPr="007915E1">
        <w:rPr>
          <w:rFonts w:cs="Times New Roman"/>
          <w:color w:val="333333"/>
          <w:szCs w:val="24"/>
          <w:shd w:val="clear" w:color="auto" w:fill="FFFFFF"/>
        </w:rPr>
        <w:t xml:space="preserve"> a credit earned or purchased by, or assigned to, a partnership, limited liability company, S corporation, or other pass-through entity</w:t>
      </w:r>
      <w:r>
        <w:rPr>
          <w:rFonts w:cs="Times New Roman"/>
          <w:color w:val="333333"/>
          <w:szCs w:val="24"/>
          <w:shd w:val="clear" w:color="auto" w:fill="FFFFFF"/>
        </w:rPr>
        <w:t>, n</w:t>
      </w:r>
      <w:r w:rsidRPr="007915E1">
        <w:rPr>
          <w:rFonts w:cs="Times New Roman"/>
          <w:color w:val="333333"/>
          <w:szCs w:val="24"/>
          <w:shd w:val="clear" w:color="auto" w:fill="FFFFFF"/>
        </w:rPr>
        <w:t>otwithstanding the requirements of this chapter</w:t>
      </w:r>
      <w:r>
        <w:rPr>
          <w:rFonts w:cs="Times New Roman"/>
          <w:color w:val="333333"/>
          <w:szCs w:val="24"/>
          <w:shd w:val="clear" w:color="auto" w:fill="FFFFFF"/>
        </w:rPr>
        <w:t>, to</w:t>
      </w:r>
      <w:r w:rsidRPr="007915E1">
        <w:rPr>
          <w:rFonts w:cs="Times New Roman"/>
          <w:color w:val="333333"/>
          <w:szCs w:val="24"/>
          <w:shd w:val="clear" w:color="auto" w:fill="FFFFFF"/>
        </w:rPr>
        <w:t xml:space="preserve"> 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supportive housing property, provided that the ent</w:t>
      </w:r>
      <w:r>
        <w:rPr>
          <w:rFonts w:cs="Times New Roman"/>
          <w:color w:val="333333"/>
          <w:szCs w:val="24"/>
          <w:shd w:val="clear" w:color="auto" w:fill="FFFFFF"/>
        </w:rPr>
        <w:t xml:space="preserve">ity that claims the credit is required to </w:t>
      </w:r>
      <w:r w:rsidRPr="007915E1">
        <w:rPr>
          <w:rFonts w:cs="Times New Roman"/>
          <w:color w:val="333333"/>
          <w:szCs w:val="24"/>
          <w:shd w:val="clear" w:color="auto" w:fill="FFFFFF"/>
        </w:rPr>
        <w:t>be subject to the tax imposed under Chapter 222</w:t>
      </w:r>
      <w:r>
        <w:rPr>
          <w:rFonts w:cs="Times New Roman"/>
          <w:color w:val="333333"/>
          <w:szCs w:val="24"/>
          <w:shd w:val="clear" w:color="auto" w:fill="FFFFFF"/>
        </w:rPr>
        <w:t xml:space="preserve"> (Life, Health, and Accident Insurance Premium Tax)</w:t>
      </w:r>
      <w:r w:rsidRPr="007915E1">
        <w:rPr>
          <w:rFonts w:cs="Times New Roman"/>
          <w:color w:val="333333"/>
          <w:szCs w:val="24"/>
          <w:shd w:val="clear" w:color="auto" w:fill="FFFFFF"/>
        </w:rPr>
        <w:t>.</w:t>
      </w:r>
    </w:p>
    <w:p w:rsidR="000E7CB2" w:rsidRDefault="000E7CB2" w:rsidP="00CB106E">
      <w:pPr>
        <w:pStyle w:val="NoSpacing"/>
        <w:ind w:left="1440"/>
        <w:jc w:val="both"/>
        <w:rPr>
          <w:rFonts w:cs="Times New Roman"/>
          <w:color w:val="333333"/>
          <w:szCs w:val="24"/>
          <w:shd w:val="clear" w:color="auto" w:fill="FFFFFF"/>
        </w:rPr>
      </w:pPr>
    </w:p>
    <w:p w:rsidR="000E7CB2" w:rsidRDefault="000E7CB2" w:rsidP="00CB106E">
      <w:pPr>
        <w:pStyle w:val="NoSpacing"/>
        <w:ind w:left="720"/>
        <w:jc w:val="both"/>
        <w:rPr>
          <w:rFonts w:cs="Times New Roman"/>
          <w:color w:val="333333"/>
          <w:szCs w:val="24"/>
          <w:shd w:val="clear" w:color="auto" w:fill="FFFFFF"/>
        </w:rPr>
      </w:pPr>
      <w:r>
        <w:rPr>
          <w:rFonts w:cs="Times New Roman"/>
          <w:color w:val="333333"/>
          <w:szCs w:val="24"/>
          <w:shd w:val="clear" w:color="auto" w:fill="FFFFFF"/>
        </w:rPr>
        <w:t>Sec. 234.009. RETALIATORY TAX. Provides that an entity that claims a credit under this chapter is not required to pay any additional retaliatory tax levied under Chapter 281 (Retaliatory Provisions) as a result of the credit.</w:t>
      </w:r>
    </w:p>
    <w:p w:rsidR="000E7CB2" w:rsidRDefault="000E7CB2" w:rsidP="00CB106E">
      <w:pPr>
        <w:pStyle w:val="NoSpacing"/>
        <w:ind w:left="720"/>
        <w:jc w:val="both"/>
        <w:rPr>
          <w:rFonts w:cs="Times New Roman"/>
          <w:color w:val="333333"/>
          <w:szCs w:val="24"/>
          <w:shd w:val="clear" w:color="auto" w:fill="FFFFFF"/>
        </w:rPr>
      </w:pPr>
    </w:p>
    <w:p w:rsidR="000E7CB2" w:rsidRDefault="000E7CB2" w:rsidP="00CB106E">
      <w:pPr>
        <w:pStyle w:val="NoSpacing"/>
        <w:ind w:left="720"/>
        <w:jc w:val="both"/>
        <w:rPr>
          <w:rFonts w:cs="Times New Roman"/>
          <w:szCs w:val="24"/>
        </w:rPr>
      </w:pPr>
      <w:r>
        <w:rPr>
          <w:rFonts w:cs="Times New Roman"/>
          <w:color w:val="333333"/>
          <w:szCs w:val="24"/>
          <w:shd w:val="clear" w:color="auto" w:fill="FFFFFF"/>
        </w:rPr>
        <w:t xml:space="preserve">Sec. 234.010. RULES. Requires </w:t>
      </w:r>
      <w:r>
        <w:rPr>
          <w:rFonts w:cs="Times New Roman"/>
          <w:szCs w:val="24"/>
        </w:rPr>
        <w:t>TSAHC and the comptroller to adopt rules necessary to implement this chapter.</w:t>
      </w:r>
    </w:p>
    <w:p w:rsidR="000E7CB2" w:rsidRPr="005C2A78" w:rsidRDefault="000E7CB2" w:rsidP="00CB106E">
      <w:pPr>
        <w:pStyle w:val="NoSpacing"/>
        <w:ind w:left="720"/>
        <w:jc w:val="both"/>
        <w:rPr>
          <w:rFonts w:eastAsia="Times New Roman" w:cs="Times New Roman"/>
          <w:szCs w:val="24"/>
        </w:rPr>
      </w:pPr>
    </w:p>
    <w:p w:rsidR="000E7CB2" w:rsidRPr="005C2A78" w:rsidRDefault="000E7CB2" w:rsidP="00CB10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0E7CB2" w:rsidRPr="005C2A78" w:rsidRDefault="000E7CB2" w:rsidP="00CB106E">
      <w:pPr>
        <w:spacing w:after="0" w:line="240" w:lineRule="auto"/>
        <w:jc w:val="both"/>
        <w:rPr>
          <w:rFonts w:eastAsia="Times New Roman" w:cs="Times New Roman"/>
          <w:szCs w:val="24"/>
        </w:rPr>
      </w:pPr>
    </w:p>
    <w:p w:rsidR="000E7CB2" w:rsidRPr="00C8671F" w:rsidRDefault="000E7CB2" w:rsidP="00CB10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E7CB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DC" w:rsidRDefault="003279DC" w:rsidP="000F1DF9">
      <w:pPr>
        <w:spacing w:after="0" w:line="240" w:lineRule="auto"/>
      </w:pPr>
      <w:r>
        <w:separator/>
      </w:r>
    </w:p>
  </w:endnote>
  <w:endnote w:type="continuationSeparator" w:id="0">
    <w:p w:rsidR="003279DC" w:rsidRDefault="003279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79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7CB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7CB2">
                <w:rPr>
                  <w:sz w:val="20"/>
                  <w:szCs w:val="20"/>
                </w:rPr>
                <w:t>S.B. 1116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7CB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79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7C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7CB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DC" w:rsidRDefault="003279DC" w:rsidP="000F1DF9">
      <w:pPr>
        <w:spacing w:after="0" w:line="240" w:lineRule="auto"/>
      </w:pPr>
      <w:r>
        <w:separator/>
      </w:r>
    </w:p>
  </w:footnote>
  <w:footnote w:type="continuationSeparator" w:id="0">
    <w:p w:rsidR="003279DC" w:rsidRDefault="003279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7CB2"/>
    <w:rsid w:val="000F1DF9"/>
    <w:rsid w:val="002355A9"/>
    <w:rsid w:val="00257C49"/>
    <w:rsid w:val="00305C27"/>
    <w:rsid w:val="003279D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3C79"/>
  <w15:docId w15:val="{198B99F5-0946-4532-B852-69FBD904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7CB2"/>
    <w:pPr>
      <w:spacing w:before="100" w:beforeAutospacing="1" w:after="100" w:afterAutospacing="1" w:line="240" w:lineRule="auto"/>
    </w:pPr>
    <w:rPr>
      <w:rFonts w:cs="Times New Roman"/>
      <w:szCs w:val="24"/>
    </w:rPr>
  </w:style>
  <w:style w:type="paragraph" w:styleId="NoSpacing">
    <w:name w:val="No Spacing"/>
    <w:uiPriority w:val="1"/>
    <w:qFormat/>
    <w:rsid w:val="000E7CB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7BB1" w:rsidP="00987B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0111548E164F2B96BC051B28ED6AB9"/>
        <w:category>
          <w:name w:val="General"/>
          <w:gallery w:val="placeholder"/>
        </w:category>
        <w:types>
          <w:type w:val="bbPlcHdr"/>
        </w:types>
        <w:behaviors>
          <w:behavior w:val="content"/>
        </w:behaviors>
        <w:guid w:val="{EB3E1758-80C5-4C2A-91B0-C9A5CC7F42C1}"/>
      </w:docPartPr>
      <w:docPartBody>
        <w:p w:rsidR="00000000" w:rsidRDefault="0098675D"/>
      </w:docPartBody>
    </w:docPart>
    <w:docPart>
      <w:docPartPr>
        <w:name w:val="607E1196418343F49ED6D166DCBEE87E"/>
        <w:category>
          <w:name w:val="General"/>
          <w:gallery w:val="placeholder"/>
        </w:category>
        <w:types>
          <w:type w:val="bbPlcHdr"/>
        </w:types>
        <w:behaviors>
          <w:behavior w:val="content"/>
        </w:behaviors>
        <w:guid w:val="{3955A79E-337B-4296-A283-FB7312502793}"/>
      </w:docPartPr>
      <w:docPartBody>
        <w:p w:rsidR="00000000" w:rsidRDefault="0098675D"/>
      </w:docPartBody>
    </w:docPart>
    <w:docPart>
      <w:docPartPr>
        <w:name w:val="3063FE1133DA45D4882C9E89C0B7AE04"/>
        <w:category>
          <w:name w:val="General"/>
          <w:gallery w:val="placeholder"/>
        </w:category>
        <w:types>
          <w:type w:val="bbPlcHdr"/>
        </w:types>
        <w:behaviors>
          <w:behavior w:val="content"/>
        </w:behaviors>
        <w:guid w:val="{9B71EC91-2024-41B3-84A9-3716D36DB35E}"/>
      </w:docPartPr>
      <w:docPartBody>
        <w:p w:rsidR="00000000" w:rsidRDefault="0098675D"/>
      </w:docPartBody>
    </w:docPart>
    <w:docPart>
      <w:docPartPr>
        <w:name w:val="418CEE4CE0084E988AE6082CCE5054FB"/>
        <w:category>
          <w:name w:val="General"/>
          <w:gallery w:val="placeholder"/>
        </w:category>
        <w:types>
          <w:type w:val="bbPlcHdr"/>
        </w:types>
        <w:behaviors>
          <w:behavior w:val="content"/>
        </w:behaviors>
        <w:guid w:val="{DDE4D5FD-F38D-46AC-B801-2DCCF0DC9E1B}"/>
      </w:docPartPr>
      <w:docPartBody>
        <w:p w:rsidR="00000000" w:rsidRDefault="0098675D"/>
      </w:docPartBody>
    </w:docPart>
    <w:docPart>
      <w:docPartPr>
        <w:name w:val="04D69CA4BBDB46299CBCB3BD514B1997"/>
        <w:category>
          <w:name w:val="General"/>
          <w:gallery w:val="placeholder"/>
        </w:category>
        <w:types>
          <w:type w:val="bbPlcHdr"/>
        </w:types>
        <w:behaviors>
          <w:behavior w:val="content"/>
        </w:behaviors>
        <w:guid w:val="{1487E210-008C-4B3A-8E82-5CDCD77284BF}"/>
      </w:docPartPr>
      <w:docPartBody>
        <w:p w:rsidR="00000000" w:rsidRDefault="0098675D"/>
      </w:docPartBody>
    </w:docPart>
    <w:docPart>
      <w:docPartPr>
        <w:name w:val="0D7F1AB50D0E448D801815B2533CAD18"/>
        <w:category>
          <w:name w:val="General"/>
          <w:gallery w:val="placeholder"/>
        </w:category>
        <w:types>
          <w:type w:val="bbPlcHdr"/>
        </w:types>
        <w:behaviors>
          <w:behavior w:val="content"/>
        </w:behaviors>
        <w:guid w:val="{00A05843-ACB6-4CCF-9C15-83D4D5DBD6C4}"/>
      </w:docPartPr>
      <w:docPartBody>
        <w:p w:rsidR="00000000" w:rsidRDefault="0098675D"/>
      </w:docPartBody>
    </w:docPart>
    <w:docPart>
      <w:docPartPr>
        <w:name w:val="1476C4F9AE57499EAD8908A7268C28A5"/>
        <w:category>
          <w:name w:val="General"/>
          <w:gallery w:val="placeholder"/>
        </w:category>
        <w:types>
          <w:type w:val="bbPlcHdr"/>
        </w:types>
        <w:behaviors>
          <w:behavior w:val="content"/>
        </w:behaviors>
        <w:guid w:val="{13B8D8DC-0B09-45AF-9CF2-CC9995517890}"/>
      </w:docPartPr>
      <w:docPartBody>
        <w:p w:rsidR="00000000" w:rsidRDefault="0098675D"/>
      </w:docPartBody>
    </w:docPart>
    <w:docPart>
      <w:docPartPr>
        <w:name w:val="66662AACB27344C596A0AE9D96B521F6"/>
        <w:category>
          <w:name w:val="General"/>
          <w:gallery w:val="placeholder"/>
        </w:category>
        <w:types>
          <w:type w:val="bbPlcHdr"/>
        </w:types>
        <w:behaviors>
          <w:behavior w:val="content"/>
        </w:behaviors>
        <w:guid w:val="{373D7E6A-72DA-40BC-B23A-883DAFF1438C}"/>
      </w:docPartPr>
      <w:docPartBody>
        <w:p w:rsidR="00000000" w:rsidRDefault="0098675D"/>
      </w:docPartBody>
    </w:docPart>
    <w:docPart>
      <w:docPartPr>
        <w:name w:val="BA907DA7524741E19A9A9767159DB7C2"/>
        <w:category>
          <w:name w:val="General"/>
          <w:gallery w:val="placeholder"/>
        </w:category>
        <w:types>
          <w:type w:val="bbPlcHdr"/>
        </w:types>
        <w:behaviors>
          <w:behavior w:val="content"/>
        </w:behaviors>
        <w:guid w:val="{797A061B-FAC5-4052-ADE6-F4D5493860EC}"/>
      </w:docPartPr>
      <w:docPartBody>
        <w:p w:rsidR="00000000" w:rsidRDefault="00987BB1" w:rsidP="00987BB1">
          <w:pPr>
            <w:pStyle w:val="BA907DA7524741E19A9A9767159DB7C2"/>
          </w:pPr>
          <w:r w:rsidRPr="00A30DD1">
            <w:rPr>
              <w:rStyle w:val="PlaceholderText"/>
            </w:rPr>
            <w:t>Click here to enter a date.</w:t>
          </w:r>
        </w:p>
      </w:docPartBody>
    </w:docPart>
    <w:docPart>
      <w:docPartPr>
        <w:name w:val="4661ABE3B7F14702B8618B97FD4A5C5F"/>
        <w:category>
          <w:name w:val="General"/>
          <w:gallery w:val="placeholder"/>
        </w:category>
        <w:types>
          <w:type w:val="bbPlcHdr"/>
        </w:types>
        <w:behaviors>
          <w:behavior w:val="content"/>
        </w:behaviors>
        <w:guid w:val="{4BF8CBD7-6EAC-4451-8892-4B23DF0E3AFC}"/>
      </w:docPartPr>
      <w:docPartBody>
        <w:p w:rsidR="00000000" w:rsidRDefault="0098675D"/>
      </w:docPartBody>
    </w:docPart>
    <w:docPart>
      <w:docPartPr>
        <w:name w:val="4EA5E40B9BD542FA9A22F7522A0DCC70"/>
        <w:category>
          <w:name w:val="General"/>
          <w:gallery w:val="placeholder"/>
        </w:category>
        <w:types>
          <w:type w:val="bbPlcHdr"/>
        </w:types>
        <w:behaviors>
          <w:behavior w:val="content"/>
        </w:behaviors>
        <w:guid w:val="{1DDDC2C6-8AB7-4A70-BB50-1B38978CE894}"/>
      </w:docPartPr>
      <w:docPartBody>
        <w:p w:rsidR="00000000" w:rsidRDefault="0098675D"/>
      </w:docPartBody>
    </w:docPart>
    <w:docPart>
      <w:docPartPr>
        <w:name w:val="746F55D7F3744451914276BCB038AE49"/>
        <w:category>
          <w:name w:val="General"/>
          <w:gallery w:val="placeholder"/>
        </w:category>
        <w:types>
          <w:type w:val="bbPlcHdr"/>
        </w:types>
        <w:behaviors>
          <w:behavior w:val="content"/>
        </w:behaviors>
        <w:guid w:val="{154ABEB3-A3EA-4C9B-A563-9820CF03606A}"/>
      </w:docPartPr>
      <w:docPartBody>
        <w:p w:rsidR="00000000" w:rsidRDefault="00987BB1" w:rsidP="00987BB1">
          <w:pPr>
            <w:pStyle w:val="746F55D7F3744451914276BCB038AE49"/>
          </w:pPr>
          <w:r>
            <w:rPr>
              <w:rFonts w:eastAsia="Times New Roman" w:cs="Times New Roman"/>
              <w:bCs/>
              <w:szCs w:val="24"/>
            </w:rPr>
            <w:t xml:space="preserve"> </w:t>
          </w:r>
        </w:p>
      </w:docPartBody>
    </w:docPart>
    <w:docPart>
      <w:docPartPr>
        <w:name w:val="0D59100BCFF04624A71B4639641DCD57"/>
        <w:category>
          <w:name w:val="General"/>
          <w:gallery w:val="placeholder"/>
        </w:category>
        <w:types>
          <w:type w:val="bbPlcHdr"/>
        </w:types>
        <w:behaviors>
          <w:behavior w:val="content"/>
        </w:behaviors>
        <w:guid w:val="{5CB85D23-F0BD-4269-9C5A-316AC02CA5E2}"/>
      </w:docPartPr>
      <w:docPartBody>
        <w:p w:rsidR="00000000" w:rsidRDefault="0098675D"/>
      </w:docPartBody>
    </w:docPart>
    <w:docPart>
      <w:docPartPr>
        <w:name w:val="5E07D06880124BBE939A3C59DCFCA259"/>
        <w:category>
          <w:name w:val="General"/>
          <w:gallery w:val="placeholder"/>
        </w:category>
        <w:types>
          <w:type w:val="bbPlcHdr"/>
        </w:types>
        <w:behaviors>
          <w:behavior w:val="content"/>
        </w:behaviors>
        <w:guid w:val="{44484E2A-9EBE-44D3-B5E9-976A67A4B7C5}"/>
      </w:docPartPr>
      <w:docPartBody>
        <w:p w:rsidR="00000000" w:rsidRDefault="009867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675D"/>
    <w:rsid w:val="00987BB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B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7BB1"/>
    <w:rPr>
      <w:rFonts w:ascii="Times New Roman" w:hAnsi="Times New Roman"/>
      <w:sz w:val="24"/>
    </w:rPr>
  </w:style>
  <w:style w:type="paragraph" w:customStyle="1" w:styleId="487D89B4F8B34DB4967D41FE18F7F88D9">
    <w:name w:val="487D89B4F8B34DB4967D41FE18F7F88D9"/>
    <w:rsid w:val="00987BB1"/>
    <w:rPr>
      <w:rFonts w:ascii="Times New Roman" w:hAnsi="Times New Roman"/>
      <w:sz w:val="24"/>
    </w:rPr>
  </w:style>
  <w:style w:type="paragraph" w:customStyle="1" w:styleId="AE2570ED5D764CD7AF9686706F550F4622">
    <w:name w:val="AE2570ED5D764CD7AF9686706F550F4622"/>
    <w:rsid w:val="00987BB1"/>
    <w:pPr>
      <w:tabs>
        <w:tab w:val="center" w:pos="4680"/>
        <w:tab w:val="right" w:pos="9360"/>
      </w:tabs>
      <w:spacing w:after="0" w:line="240" w:lineRule="auto"/>
    </w:pPr>
    <w:rPr>
      <w:rFonts w:ascii="Times New Roman" w:hAnsi="Times New Roman"/>
      <w:sz w:val="24"/>
    </w:rPr>
  </w:style>
  <w:style w:type="paragraph" w:customStyle="1" w:styleId="BA907DA7524741E19A9A9767159DB7C2">
    <w:name w:val="BA907DA7524741E19A9A9767159DB7C2"/>
    <w:rsid w:val="00987BB1"/>
    <w:pPr>
      <w:spacing w:after="160" w:line="259" w:lineRule="auto"/>
    </w:pPr>
  </w:style>
  <w:style w:type="paragraph" w:customStyle="1" w:styleId="746F55D7F3744451914276BCB038AE49">
    <w:name w:val="746F55D7F3744451914276BCB038AE49"/>
    <w:rsid w:val="00987B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417AC4-34FA-4948-AC8B-3EB0FA1D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1646</Words>
  <Characters>9387</Characters>
  <Application>Microsoft Office Word</Application>
  <DocSecurity>0</DocSecurity>
  <Lines>78</Lines>
  <Paragraphs>22</Paragraphs>
  <ScaleCrop>false</ScaleCrop>
  <Company>Texas Legislative Council</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2019-04-01T20:35:00Z</cp:lastPrinted>
  <dcterms:created xsi:type="dcterms:W3CDTF">2015-05-29T14:24:00Z</dcterms:created>
  <dcterms:modified xsi:type="dcterms:W3CDTF">2019-04-01T20:38:00Z</dcterms:modified>
</cp:coreProperties>
</file>

<file path=docProps/custom.xml><?xml version="1.0" encoding="utf-8"?>
<op:Properties xmlns:vt="http://schemas.openxmlformats.org/officeDocument/2006/docPropsVTypes" xmlns:op="http://schemas.openxmlformats.org/officeDocument/2006/custom-properties"/>
</file>