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D5C9F" w:rsidTr="00345119">
        <w:tc>
          <w:tcPr>
            <w:tcW w:w="9576" w:type="dxa"/>
            <w:noWrap/>
          </w:tcPr>
          <w:p w:rsidR="008423E4" w:rsidRPr="0022177D" w:rsidRDefault="006E761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E7617" w:rsidP="008423E4">
      <w:pPr>
        <w:jc w:val="center"/>
      </w:pPr>
    </w:p>
    <w:p w:rsidR="008423E4" w:rsidRPr="00B31F0E" w:rsidRDefault="006E7617" w:rsidP="008423E4"/>
    <w:p w:rsidR="008423E4" w:rsidRPr="00742794" w:rsidRDefault="006E761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D5C9F" w:rsidTr="00345119">
        <w:tc>
          <w:tcPr>
            <w:tcW w:w="9576" w:type="dxa"/>
          </w:tcPr>
          <w:p w:rsidR="008423E4" w:rsidRPr="00861995" w:rsidRDefault="006E7617" w:rsidP="00345119">
            <w:pPr>
              <w:jc w:val="right"/>
            </w:pPr>
            <w:r>
              <w:t>S.B. 1119</w:t>
            </w:r>
          </w:p>
        </w:tc>
      </w:tr>
      <w:tr w:rsidR="007D5C9F" w:rsidTr="00345119">
        <w:tc>
          <w:tcPr>
            <w:tcW w:w="9576" w:type="dxa"/>
          </w:tcPr>
          <w:p w:rsidR="008423E4" w:rsidRPr="00861995" w:rsidRDefault="006E7617" w:rsidP="00040905">
            <w:pPr>
              <w:jc w:val="right"/>
            </w:pPr>
            <w:r>
              <w:t>By:</w:t>
            </w:r>
            <w:r>
              <w:t xml:space="preserve"> Lucio</w:t>
            </w:r>
          </w:p>
        </w:tc>
      </w:tr>
      <w:tr w:rsidR="007D5C9F" w:rsidTr="00345119">
        <w:tc>
          <w:tcPr>
            <w:tcW w:w="9576" w:type="dxa"/>
          </w:tcPr>
          <w:p w:rsidR="008423E4" w:rsidRPr="00861995" w:rsidRDefault="006E7617" w:rsidP="00345119">
            <w:pPr>
              <w:jc w:val="right"/>
            </w:pPr>
            <w:r>
              <w:t>Public Health</w:t>
            </w:r>
          </w:p>
        </w:tc>
      </w:tr>
      <w:tr w:rsidR="007D5C9F" w:rsidTr="00345119">
        <w:tc>
          <w:tcPr>
            <w:tcW w:w="9576" w:type="dxa"/>
          </w:tcPr>
          <w:p w:rsidR="008423E4" w:rsidRDefault="006E761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E7617" w:rsidP="008423E4">
      <w:pPr>
        <w:tabs>
          <w:tab w:val="right" w:pos="9360"/>
        </w:tabs>
      </w:pPr>
    </w:p>
    <w:p w:rsidR="008423E4" w:rsidRDefault="006E7617" w:rsidP="008423E4"/>
    <w:p w:rsidR="008423E4" w:rsidRDefault="006E761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D5C9F" w:rsidTr="00345119">
        <w:tc>
          <w:tcPr>
            <w:tcW w:w="9576" w:type="dxa"/>
          </w:tcPr>
          <w:p w:rsidR="008423E4" w:rsidRPr="00A8133F" w:rsidRDefault="006E7617" w:rsidP="000762D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E7617" w:rsidP="000762D3"/>
          <w:p w:rsidR="00DA5258" w:rsidRDefault="006E7617" w:rsidP="000762D3">
            <w:pPr>
              <w:pStyle w:val="Header"/>
              <w:jc w:val="both"/>
            </w:pPr>
            <w:r>
              <w:t xml:space="preserve">Concerns have been raised regarding the higher rate of obesity in </w:t>
            </w:r>
            <w:r>
              <w:t xml:space="preserve">border </w:t>
            </w:r>
            <w:r>
              <w:t>counties</w:t>
            </w:r>
            <w:r>
              <w:t xml:space="preserve"> </w:t>
            </w:r>
            <w:r w:rsidRPr="0013330F">
              <w:t>adjacent to Mexico</w:t>
            </w:r>
            <w:r>
              <w:t xml:space="preserve"> than</w:t>
            </w:r>
            <w:r>
              <w:t xml:space="preserve"> in</w:t>
            </w:r>
            <w:r>
              <w:t xml:space="preserve"> non-border counties</w:t>
            </w:r>
            <w:r>
              <w:t xml:space="preserve"> and the related adverse health impact on morbidity and mortality</w:t>
            </w:r>
            <w:r>
              <w:t xml:space="preserve"> rates </w:t>
            </w:r>
            <w:r>
              <w:t>for</w:t>
            </w:r>
            <w:r>
              <w:t xml:space="preserve"> cardiovascular disease, asthma, and cancer</w:t>
            </w:r>
            <w:r>
              <w:t>.</w:t>
            </w:r>
            <w:r>
              <w:t xml:space="preserve"> </w:t>
            </w:r>
            <w:r>
              <w:t xml:space="preserve">S.B. 1119 </w:t>
            </w:r>
            <w:r>
              <w:t xml:space="preserve">seeks to implement certain </w:t>
            </w:r>
            <w:r>
              <w:t>recommend</w:t>
            </w:r>
            <w:r>
              <w:t>ations for the</w:t>
            </w:r>
            <w:r>
              <w:t xml:space="preserve"> state</w:t>
            </w:r>
            <w:r>
              <w:t xml:space="preserve"> to</w:t>
            </w:r>
            <w:r>
              <w:t xml:space="preserve"> improve its efforts </w:t>
            </w:r>
            <w:r>
              <w:t>in</w:t>
            </w:r>
            <w:r>
              <w:t xml:space="preserve"> address</w:t>
            </w:r>
            <w:r>
              <w:t>ing</w:t>
            </w:r>
            <w:r>
              <w:t xml:space="preserve"> obesity-related </w:t>
            </w:r>
            <w:r>
              <w:t xml:space="preserve">diseases </w:t>
            </w:r>
            <w:r>
              <w:t xml:space="preserve">by </w:t>
            </w:r>
            <w:r>
              <w:t>requ</w:t>
            </w:r>
            <w:r>
              <w:t xml:space="preserve">iring </w:t>
            </w:r>
            <w:r w:rsidRPr="00952CE9">
              <w:t xml:space="preserve">the Department of State Health Services </w:t>
            </w:r>
            <w:r>
              <w:t>to develop a border public health initiative to reduce the adverse health impacts of diabetes, hypertension, and obesity for adults and children in border counties.</w:t>
            </w:r>
          </w:p>
          <w:p w:rsidR="008423E4" w:rsidRPr="00E26B13" w:rsidRDefault="006E7617" w:rsidP="000762D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7D5C9F" w:rsidTr="00345119">
        <w:tc>
          <w:tcPr>
            <w:tcW w:w="9576" w:type="dxa"/>
          </w:tcPr>
          <w:p w:rsidR="0017725B" w:rsidRDefault="006E7617" w:rsidP="000762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E7617" w:rsidP="000762D3">
            <w:pPr>
              <w:rPr>
                <w:b/>
                <w:u w:val="single"/>
              </w:rPr>
            </w:pPr>
          </w:p>
          <w:p w:rsidR="001220D5" w:rsidRPr="001220D5" w:rsidRDefault="006E7617" w:rsidP="000762D3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:rsidR="0017725B" w:rsidRPr="0017725B" w:rsidRDefault="006E7617" w:rsidP="000762D3">
            <w:pPr>
              <w:rPr>
                <w:b/>
                <w:u w:val="single"/>
              </w:rPr>
            </w:pPr>
          </w:p>
        </w:tc>
      </w:tr>
      <w:tr w:rsidR="007D5C9F" w:rsidTr="00345119">
        <w:tc>
          <w:tcPr>
            <w:tcW w:w="9576" w:type="dxa"/>
          </w:tcPr>
          <w:p w:rsidR="008423E4" w:rsidRPr="00A8133F" w:rsidRDefault="006E7617" w:rsidP="000762D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E7617" w:rsidP="000762D3"/>
          <w:p w:rsidR="001220D5" w:rsidRDefault="006E7617" w:rsidP="000762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6E7617" w:rsidP="000762D3">
            <w:pPr>
              <w:rPr>
                <w:b/>
              </w:rPr>
            </w:pPr>
          </w:p>
        </w:tc>
      </w:tr>
      <w:tr w:rsidR="007D5C9F" w:rsidTr="00345119">
        <w:tc>
          <w:tcPr>
            <w:tcW w:w="9576" w:type="dxa"/>
          </w:tcPr>
          <w:p w:rsidR="008423E4" w:rsidRPr="00A8133F" w:rsidRDefault="006E7617" w:rsidP="000762D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E7617" w:rsidP="000762D3"/>
          <w:p w:rsidR="00FE5306" w:rsidRDefault="006E7617" w:rsidP="000762D3">
            <w:pPr>
              <w:pStyle w:val="Header"/>
              <w:jc w:val="both"/>
            </w:pPr>
            <w:r>
              <w:t xml:space="preserve">S.B. 1119 amends the Health and Safety Code to require the </w:t>
            </w:r>
            <w:r w:rsidRPr="0036736E">
              <w:t>Department of State Health Services (DSHS)</w:t>
            </w:r>
            <w:r>
              <w:t xml:space="preserve"> to develop </w:t>
            </w:r>
            <w:r>
              <w:t>an</w:t>
            </w:r>
            <w:r>
              <w:t xml:space="preserve"> initiative to </w:t>
            </w:r>
            <w:r w:rsidRPr="003E3BFC">
              <w:t xml:space="preserve">reduce the adverse health impacts of diabetes, hypertension, and obesity for adults </w:t>
            </w:r>
            <w:r>
              <w:t>and children in border counties</w:t>
            </w:r>
            <w:r>
              <w:t>.</w:t>
            </w:r>
            <w:r>
              <w:t xml:space="preserve"> The initi</w:t>
            </w:r>
            <w:r>
              <w:t xml:space="preserve">ative </w:t>
            </w:r>
            <w:r>
              <w:t>must</w:t>
            </w:r>
            <w:r>
              <w:t xml:space="preserve"> promote</w:t>
            </w:r>
            <w:r>
              <w:t>:</w:t>
            </w:r>
          </w:p>
          <w:p w:rsidR="002424FF" w:rsidRDefault="006E7617" w:rsidP="000762D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CD1DE3">
              <w:t>educational resources designed to prevent those conditions</w:t>
            </w:r>
            <w:r>
              <w:t>;</w:t>
            </w:r>
          </w:p>
          <w:p w:rsidR="002424FF" w:rsidRDefault="006E7617" w:rsidP="000762D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screenings of persons at risk for those conditions; and</w:t>
            </w:r>
          </w:p>
          <w:p w:rsidR="002424FF" w:rsidRDefault="006E7617" w:rsidP="000762D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referrals to and treatment by health care providers for those conditions. </w:t>
            </w:r>
          </w:p>
          <w:p w:rsidR="00A17713" w:rsidRDefault="006E7617" w:rsidP="000762D3">
            <w:pPr>
              <w:pStyle w:val="Header"/>
              <w:jc w:val="both"/>
            </w:pPr>
            <w:r>
              <w:t>The bill identifies the entities with which</w:t>
            </w:r>
            <w:r>
              <w:t xml:space="preserve"> </w:t>
            </w:r>
            <w:r>
              <w:t>D</w:t>
            </w:r>
            <w:r>
              <w:t>SHS may consult and collaborate</w:t>
            </w:r>
            <w:r>
              <w:t xml:space="preserve"> </w:t>
            </w:r>
            <w:r>
              <w:t>in developing the</w:t>
            </w:r>
            <w:r>
              <w:t xml:space="preserve"> </w:t>
            </w:r>
            <w:r w:rsidRPr="00AD1060">
              <w:t>border public health</w:t>
            </w:r>
            <w:r>
              <w:t xml:space="preserve"> initiative</w:t>
            </w:r>
            <w:r>
              <w:t xml:space="preserve"> and </w:t>
            </w:r>
            <w:r>
              <w:t xml:space="preserve">requires </w:t>
            </w:r>
            <w:r>
              <w:t>DSHS</w:t>
            </w:r>
            <w:r>
              <w:t xml:space="preserve">, in implementing the </w:t>
            </w:r>
            <w:r>
              <w:t>initiative</w:t>
            </w:r>
            <w:r>
              <w:t>,</w:t>
            </w:r>
            <w:r>
              <w:t xml:space="preserve"> to conduct bilingual, culturally appropriate outreach campaigns in consultation and collaboration with appropriate </w:t>
            </w:r>
            <w:r>
              <w:t>individuals and entities</w:t>
            </w:r>
            <w:r>
              <w:t xml:space="preserve"> </w:t>
            </w:r>
            <w:r>
              <w:t>as specified by the bill</w:t>
            </w:r>
            <w:r>
              <w:t xml:space="preserve">. </w:t>
            </w:r>
          </w:p>
          <w:p w:rsidR="00A17713" w:rsidRDefault="006E7617" w:rsidP="000762D3">
            <w:pPr>
              <w:pStyle w:val="Header"/>
              <w:spacing w:before="120" w:after="120"/>
              <w:jc w:val="both"/>
            </w:pPr>
          </w:p>
          <w:p w:rsidR="0075463F" w:rsidRDefault="006E7617" w:rsidP="000762D3">
            <w:pPr>
              <w:pStyle w:val="Header"/>
              <w:spacing w:before="120" w:after="120"/>
              <w:jc w:val="both"/>
            </w:pPr>
            <w:r>
              <w:t>S.B. 1119</w:t>
            </w:r>
            <w:r>
              <w:t xml:space="preserve"> requires DSHS, not later than January 1, 2023, to prepare and electronically submit to the </w:t>
            </w:r>
            <w:r w:rsidRPr="001220D5">
              <w:t>lieutenant governor, the speaker of the house of representatives, and the legislature a report describ</w:t>
            </w:r>
            <w:r w:rsidRPr="001220D5">
              <w:t>ing</w:t>
            </w:r>
            <w:r>
              <w:t xml:space="preserve"> health outcomes and health care savings resulting from prevention, screenings, and treatment of chronic diseases under the </w:t>
            </w:r>
            <w:r w:rsidRPr="00936A6C">
              <w:t xml:space="preserve">border public health </w:t>
            </w:r>
            <w:r>
              <w:t>initiative and other relevant findings, as determined by DSHS, resulting from the initiative. The bill</w:t>
            </w:r>
            <w:r>
              <w:t>'s</w:t>
            </w:r>
            <w:r>
              <w:t xml:space="preserve"> pro</w:t>
            </w:r>
            <w:r>
              <w:t>visions expire December 31, 2031.</w:t>
            </w:r>
          </w:p>
          <w:p w:rsidR="0075463F" w:rsidRDefault="006E7617" w:rsidP="000762D3">
            <w:pPr>
              <w:pStyle w:val="Header"/>
              <w:jc w:val="both"/>
            </w:pPr>
          </w:p>
          <w:p w:rsidR="008423E4" w:rsidRDefault="006E7617" w:rsidP="000762D3">
            <w:pPr>
              <w:pStyle w:val="Header"/>
              <w:jc w:val="both"/>
            </w:pPr>
            <w:r>
              <w:t xml:space="preserve">S.B. 1119 </w:t>
            </w:r>
            <w:r w:rsidRPr="0075463F">
              <w:t xml:space="preserve">establishes that </w:t>
            </w:r>
            <w:r>
              <w:t>DSHS</w:t>
            </w:r>
            <w:r w:rsidRPr="0075463F">
              <w:t xml:space="preserve"> is required to implement a provision of the bill only if the legislature appropriates money specifically for that purpose and if not, that </w:t>
            </w:r>
            <w:r>
              <w:t xml:space="preserve">DSHS </w:t>
            </w:r>
            <w:r w:rsidRPr="0075463F">
              <w:t>may, but is not required to, implement such a</w:t>
            </w:r>
            <w:r w:rsidRPr="0075463F">
              <w:t xml:space="preserve"> provision using other appropriations available for that purpose.</w:t>
            </w:r>
            <w:r>
              <w:t xml:space="preserve"> </w:t>
            </w:r>
          </w:p>
          <w:p w:rsidR="008423E4" w:rsidRPr="00835628" w:rsidRDefault="006E7617" w:rsidP="000762D3">
            <w:pPr>
              <w:rPr>
                <w:b/>
              </w:rPr>
            </w:pPr>
          </w:p>
        </w:tc>
      </w:tr>
      <w:tr w:rsidR="007D5C9F" w:rsidTr="00345119">
        <w:tc>
          <w:tcPr>
            <w:tcW w:w="9576" w:type="dxa"/>
          </w:tcPr>
          <w:p w:rsidR="008423E4" w:rsidRDefault="006E7617" w:rsidP="000762D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F856FF" w:rsidRPr="00A8133F" w:rsidRDefault="006E7617" w:rsidP="000762D3">
            <w:pPr>
              <w:rPr>
                <w:b/>
              </w:rPr>
            </w:pPr>
          </w:p>
          <w:p w:rsidR="008423E4" w:rsidRDefault="006E7617" w:rsidP="000762D3">
            <w:r>
              <w:t xml:space="preserve">September 1, 2019. </w:t>
            </w:r>
          </w:p>
          <w:p w:rsidR="008423E4" w:rsidRPr="003624F2" w:rsidRDefault="006E7617" w:rsidP="000762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Pr="00233FDB" w:rsidRDefault="006E7617" w:rsidP="000762D3">
            <w:pPr>
              <w:rPr>
                <w:b/>
              </w:rPr>
            </w:pPr>
          </w:p>
        </w:tc>
      </w:tr>
    </w:tbl>
    <w:p w:rsidR="008423E4" w:rsidRPr="00BE0E75" w:rsidRDefault="006E761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E7617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E7617">
      <w:r>
        <w:separator/>
      </w:r>
    </w:p>
  </w:endnote>
  <w:endnote w:type="continuationSeparator" w:id="0">
    <w:p w:rsidR="00000000" w:rsidRDefault="006E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E76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D5C9F" w:rsidTr="009C1E9A">
      <w:trPr>
        <w:cantSplit/>
      </w:trPr>
      <w:tc>
        <w:tcPr>
          <w:tcW w:w="0" w:type="pct"/>
        </w:tcPr>
        <w:p w:rsidR="00137D90" w:rsidRDefault="006E761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E761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E761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E761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E761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D5C9F" w:rsidTr="009C1E9A">
      <w:trPr>
        <w:cantSplit/>
      </w:trPr>
      <w:tc>
        <w:tcPr>
          <w:tcW w:w="0" w:type="pct"/>
        </w:tcPr>
        <w:p w:rsidR="00EC379B" w:rsidRDefault="006E761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E761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32484</w:t>
          </w:r>
        </w:p>
      </w:tc>
      <w:tc>
        <w:tcPr>
          <w:tcW w:w="2453" w:type="pct"/>
        </w:tcPr>
        <w:p w:rsidR="00EC379B" w:rsidRDefault="006E761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19.127.1038</w:t>
          </w:r>
          <w:r>
            <w:fldChar w:fldCharType="end"/>
          </w:r>
        </w:p>
      </w:tc>
    </w:tr>
    <w:tr w:rsidR="007D5C9F" w:rsidTr="009C1E9A">
      <w:trPr>
        <w:cantSplit/>
      </w:trPr>
      <w:tc>
        <w:tcPr>
          <w:tcW w:w="0" w:type="pct"/>
        </w:tcPr>
        <w:p w:rsidR="00EC379B" w:rsidRDefault="006E761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E761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E7617" w:rsidP="006D504F">
          <w:pPr>
            <w:pStyle w:val="Footer"/>
            <w:rPr>
              <w:rStyle w:val="PageNumber"/>
            </w:rPr>
          </w:pPr>
        </w:p>
        <w:p w:rsidR="00EC379B" w:rsidRDefault="006E761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D5C9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E761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6E761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E761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E7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E7617">
      <w:r>
        <w:separator/>
      </w:r>
    </w:p>
  </w:footnote>
  <w:footnote w:type="continuationSeparator" w:id="0">
    <w:p w:rsidR="00000000" w:rsidRDefault="006E7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E76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E76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E76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6466"/>
    <w:multiLevelType w:val="hybridMultilevel"/>
    <w:tmpl w:val="BD7CCB7C"/>
    <w:lvl w:ilvl="0" w:tplc="C7CA11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2473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7A8C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96CD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6E72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AC93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A2B2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7A97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1408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D27F9"/>
    <w:multiLevelType w:val="hybridMultilevel"/>
    <w:tmpl w:val="863AE146"/>
    <w:lvl w:ilvl="0" w:tplc="F11EA5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7E78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001C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DCDC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80A9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D04F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F44D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46E5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6831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9F"/>
    <w:rsid w:val="006E7617"/>
    <w:rsid w:val="007D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3FBF7E-E106-424B-84B6-BF8B7CD4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D1D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D1D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1DE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1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1D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2397</Characters>
  <Application>Microsoft Office Word</Application>
  <DocSecurity>4</DocSecurity>
  <Lines>63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SB01119 (Committee Report (Unamended))</vt:lpstr>
    </vt:vector>
  </TitlesOfParts>
  <Company>State of Texas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32484</dc:subject>
  <dc:creator>State of Texas</dc:creator>
  <dc:description>SB 1119 by Lucio-(H)Public Health</dc:description>
  <cp:lastModifiedBy>Scotty Wimberley</cp:lastModifiedBy>
  <cp:revision>2</cp:revision>
  <cp:lastPrinted>2003-11-26T17:21:00Z</cp:lastPrinted>
  <dcterms:created xsi:type="dcterms:W3CDTF">2019-05-15T17:04:00Z</dcterms:created>
  <dcterms:modified xsi:type="dcterms:W3CDTF">2019-05-15T17:04:00Z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19.127.1038</vt:lpwstr>
  </property>
</Properties>
</file>