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5276" w:rsidTr="00345119">
        <w:tc>
          <w:tcPr>
            <w:tcW w:w="9576" w:type="dxa"/>
            <w:noWrap/>
          </w:tcPr>
          <w:p w:rsidR="008423E4" w:rsidRPr="0022177D" w:rsidRDefault="00586F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6FE2" w:rsidP="008423E4">
      <w:pPr>
        <w:jc w:val="center"/>
      </w:pPr>
    </w:p>
    <w:p w:rsidR="008423E4" w:rsidRPr="00B31F0E" w:rsidRDefault="00586FE2" w:rsidP="008423E4"/>
    <w:p w:rsidR="008423E4" w:rsidRPr="00742794" w:rsidRDefault="00586F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5276" w:rsidTr="00345119">
        <w:tc>
          <w:tcPr>
            <w:tcW w:w="9576" w:type="dxa"/>
          </w:tcPr>
          <w:p w:rsidR="008423E4" w:rsidRPr="00861995" w:rsidRDefault="00586FE2" w:rsidP="00345119">
            <w:pPr>
              <w:jc w:val="right"/>
            </w:pPr>
            <w:r>
              <w:t>S.B. 1121</w:t>
            </w:r>
          </w:p>
        </w:tc>
      </w:tr>
      <w:tr w:rsidR="00015276" w:rsidTr="00345119">
        <w:tc>
          <w:tcPr>
            <w:tcW w:w="9576" w:type="dxa"/>
          </w:tcPr>
          <w:p w:rsidR="008423E4" w:rsidRPr="00861995" w:rsidRDefault="00586FE2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015276" w:rsidTr="00345119">
        <w:tc>
          <w:tcPr>
            <w:tcW w:w="9576" w:type="dxa"/>
          </w:tcPr>
          <w:p w:rsidR="008423E4" w:rsidRPr="00861995" w:rsidRDefault="00586FE2" w:rsidP="00345119">
            <w:pPr>
              <w:jc w:val="right"/>
            </w:pPr>
            <w:r>
              <w:t>Public Health</w:t>
            </w:r>
          </w:p>
        </w:tc>
      </w:tr>
      <w:tr w:rsidR="00015276" w:rsidTr="00345119">
        <w:tc>
          <w:tcPr>
            <w:tcW w:w="9576" w:type="dxa"/>
          </w:tcPr>
          <w:p w:rsidR="008423E4" w:rsidRDefault="00586F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6FE2" w:rsidP="008423E4">
      <w:pPr>
        <w:tabs>
          <w:tab w:val="right" w:pos="9360"/>
        </w:tabs>
      </w:pPr>
    </w:p>
    <w:p w:rsidR="008423E4" w:rsidRDefault="00586FE2" w:rsidP="008423E4"/>
    <w:p w:rsidR="008423E4" w:rsidRDefault="00586F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5276" w:rsidTr="00345119">
        <w:tc>
          <w:tcPr>
            <w:tcW w:w="9576" w:type="dxa"/>
          </w:tcPr>
          <w:p w:rsidR="008423E4" w:rsidRPr="00A8133F" w:rsidRDefault="00586FE2" w:rsidP="001A0C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6FE2" w:rsidP="001A0CCB"/>
          <w:p w:rsidR="008423E4" w:rsidRDefault="00586FE2" w:rsidP="001A0CCB">
            <w:pPr>
              <w:pStyle w:val="Header"/>
              <w:jc w:val="both"/>
            </w:pPr>
            <w:r>
              <w:t>Concerns have been raised regarding the</w:t>
            </w:r>
            <w:r>
              <w:t xml:space="preserve"> lack of existing public laboratory capabilities in the areas </w:t>
            </w:r>
            <w:r>
              <w:t xml:space="preserve">of Texas bordering Mexico </w:t>
            </w:r>
            <w:r>
              <w:t xml:space="preserve">to test for </w:t>
            </w:r>
            <w:r>
              <w:t>communicable diseases that pose a potentially serious</w:t>
            </w:r>
            <w:r>
              <w:t xml:space="preserve"> public health </w:t>
            </w:r>
            <w:r>
              <w:t>threat</w:t>
            </w:r>
            <w:r>
              <w:t>.</w:t>
            </w:r>
            <w:r>
              <w:t xml:space="preserve"> Public health officials have noted the importance of the time frame in which relevant testing </w:t>
            </w:r>
            <w:r>
              <w:t>can be</w:t>
            </w:r>
            <w:r>
              <w:t xml:space="preserve"> completed</w:t>
            </w:r>
            <w:r>
              <w:t xml:space="preserve">, since </w:t>
            </w:r>
            <w:r>
              <w:t>delays</w:t>
            </w:r>
            <w:r>
              <w:t xml:space="preserve"> due to limited local capabilities may result </w:t>
            </w:r>
            <w:r>
              <w:t xml:space="preserve">in </w:t>
            </w:r>
            <w:r>
              <w:t>greater</w:t>
            </w:r>
            <w:r>
              <w:t xml:space="preserve"> risk of public exposure. These difficulties are compounded by the economically distressed circumstances </w:t>
            </w:r>
            <w:r>
              <w:t xml:space="preserve">and migration patterns </w:t>
            </w:r>
            <w:r>
              <w:t>of the border region</w:t>
            </w:r>
            <w:r>
              <w:t xml:space="preserve"> and by the seasonal schedule of operations for certain state facilities elsewhere in Texas</w:t>
            </w:r>
            <w:r>
              <w:t>.</w:t>
            </w:r>
            <w:r>
              <w:t xml:space="preserve"> </w:t>
            </w:r>
            <w:r>
              <w:t xml:space="preserve">S.B. 1121 </w:t>
            </w:r>
            <w:r>
              <w:t>seeks</w:t>
            </w:r>
            <w:r>
              <w:t xml:space="preserve"> to address these concerns by </w:t>
            </w:r>
            <w:r>
              <w:t>requiring</w:t>
            </w:r>
            <w:r>
              <w:t xml:space="preserve"> </w:t>
            </w:r>
            <w:r>
              <w:t xml:space="preserve">DSHS to conduct an assessment of </w:t>
            </w:r>
            <w:r>
              <w:t>existing laboratory capabilities in the region,</w:t>
            </w:r>
            <w:r>
              <w:t xml:space="preserve"> </w:t>
            </w:r>
            <w:r>
              <w:t xml:space="preserve">establish interlocal agreements </w:t>
            </w:r>
            <w:r>
              <w:t>to improve access to resources</w:t>
            </w:r>
            <w:r>
              <w:t xml:space="preserve">, and </w:t>
            </w:r>
            <w:r>
              <w:t xml:space="preserve">provide </w:t>
            </w:r>
            <w:r>
              <w:t xml:space="preserve">for year-round testing </w:t>
            </w:r>
            <w:r>
              <w:t>where appropriate</w:t>
            </w:r>
            <w:r>
              <w:t>.</w:t>
            </w:r>
          </w:p>
          <w:p w:rsidR="008423E4" w:rsidRPr="00E26B13" w:rsidRDefault="00586FE2" w:rsidP="001A0CCB">
            <w:pPr>
              <w:rPr>
                <w:b/>
              </w:rPr>
            </w:pPr>
          </w:p>
        </w:tc>
      </w:tr>
      <w:tr w:rsidR="00015276" w:rsidTr="00345119">
        <w:tc>
          <w:tcPr>
            <w:tcW w:w="9576" w:type="dxa"/>
          </w:tcPr>
          <w:p w:rsidR="0017725B" w:rsidRDefault="00586FE2" w:rsidP="001A0C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586FE2" w:rsidP="001A0CCB">
            <w:pPr>
              <w:rPr>
                <w:b/>
                <w:u w:val="single"/>
              </w:rPr>
            </w:pPr>
          </w:p>
          <w:p w:rsidR="00FA4134" w:rsidRPr="00FA4134" w:rsidRDefault="00586FE2" w:rsidP="001A0CC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586FE2" w:rsidP="001A0CCB">
            <w:pPr>
              <w:rPr>
                <w:b/>
                <w:u w:val="single"/>
              </w:rPr>
            </w:pPr>
          </w:p>
        </w:tc>
      </w:tr>
      <w:tr w:rsidR="00015276" w:rsidTr="00345119">
        <w:tc>
          <w:tcPr>
            <w:tcW w:w="9576" w:type="dxa"/>
          </w:tcPr>
          <w:p w:rsidR="008423E4" w:rsidRPr="00A8133F" w:rsidRDefault="00586FE2" w:rsidP="001A0C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6FE2" w:rsidP="001A0CCB"/>
          <w:p w:rsidR="00FA4134" w:rsidRDefault="00586FE2" w:rsidP="001A0C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6FE2" w:rsidP="001A0CCB">
            <w:pPr>
              <w:rPr>
                <w:b/>
              </w:rPr>
            </w:pPr>
          </w:p>
        </w:tc>
      </w:tr>
      <w:tr w:rsidR="00015276" w:rsidTr="00345119">
        <w:tc>
          <w:tcPr>
            <w:tcW w:w="9576" w:type="dxa"/>
          </w:tcPr>
          <w:p w:rsidR="008423E4" w:rsidRPr="00A8133F" w:rsidRDefault="00586FE2" w:rsidP="00582C95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6FE2" w:rsidP="00582C95">
            <w:pPr>
              <w:contextualSpacing/>
            </w:pPr>
          </w:p>
          <w:p w:rsidR="00FA4134" w:rsidRDefault="00586FE2" w:rsidP="00582C95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S.B. 1121 amends the Health </w:t>
            </w:r>
            <w:r>
              <w:t xml:space="preserve">and Safety Code to require </w:t>
            </w:r>
            <w:r>
              <w:t>the Department of State Health Services (DSHS)</w:t>
            </w:r>
            <w:r>
              <w:t>, not later than September 1, 2020, to prepare and submit a written or electronic report to the legislature on public laboratories in Texas counties that are adjacent to an internatio</w:t>
            </w:r>
            <w:r>
              <w:t>nal borde</w:t>
            </w:r>
            <w:r>
              <w:t xml:space="preserve">r. The bill requires </w:t>
            </w:r>
            <w:r>
              <w:t>the report to include</w:t>
            </w:r>
            <w:r>
              <w:t xml:space="preserve"> </w:t>
            </w:r>
            <w:r>
              <w:t>information on the existing testing capabilities of the public laboratories, focusing on clinical, environmental, an</w:t>
            </w:r>
            <w:r>
              <w:t>d zoonotic testing capabilities</w:t>
            </w:r>
            <w:r>
              <w:t xml:space="preserve"> and</w:t>
            </w:r>
            <w:r>
              <w:t xml:space="preserve"> </w:t>
            </w:r>
            <w:r>
              <w:t>recommendations to increase the efficiency, effectiv</w:t>
            </w:r>
            <w:r>
              <w:t>eness, and productivity of the public laboratories through admini</w:t>
            </w:r>
            <w:r>
              <w:t>strative action and legislation</w:t>
            </w:r>
            <w:r>
              <w:t>.</w:t>
            </w:r>
            <w:r>
              <w:t xml:space="preserve"> The bill requires DSHS </w:t>
            </w:r>
            <w:r>
              <w:t xml:space="preserve">to collaborate with </w:t>
            </w:r>
            <w:r>
              <w:t xml:space="preserve">municipal or county </w:t>
            </w:r>
            <w:r>
              <w:t>health departments and public and private testing laboratories to collect information and devel</w:t>
            </w:r>
            <w:r>
              <w:t>op recommendations for the report</w:t>
            </w:r>
            <w:r>
              <w:t xml:space="preserve">. These provisions </w:t>
            </w:r>
            <w:r>
              <w:t>expire September 1, 2021.</w:t>
            </w:r>
          </w:p>
          <w:p w:rsidR="009617AD" w:rsidRDefault="00586FE2" w:rsidP="00582C95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E01A44" w:rsidRDefault="00586FE2" w:rsidP="00582C95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S.B. 1121 requires </w:t>
            </w:r>
            <w:r>
              <w:t>DSHS</w:t>
            </w:r>
            <w:r>
              <w:t xml:space="preserve">, using available resources and as determined appropriate by </w:t>
            </w:r>
            <w:r>
              <w:t>DSHS</w:t>
            </w:r>
            <w:r>
              <w:t>, to enter into agreements with public institutions of higher education and public and pr</w:t>
            </w:r>
            <w:r>
              <w:t xml:space="preserve">ivate testing laboratories in Texas to increase the availability of public health laboratory services for </w:t>
            </w:r>
            <w:r>
              <w:t xml:space="preserve">municipal and county </w:t>
            </w:r>
            <w:r>
              <w:t>health departments in counties adjacent to an international border.</w:t>
            </w:r>
            <w:r>
              <w:t xml:space="preserve"> The bill </w:t>
            </w:r>
            <w:r>
              <w:t>requires</w:t>
            </w:r>
            <w:r>
              <w:t xml:space="preserve"> th</w:t>
            </w:r>
            <w:r>
              <w:t xml:space="preserve">e agreements </w:t>
            </w:r>
            <w:r>
              <w:t xml:space="preserve">to </w:t>
            </w:r>
            <w:r>
              <w:t>establish</w:t>
            </w:r>
            <w:r>
              <w:t xml:space="preserve"> specified proto</w:t>
            </w:r>
            <w:r>
              <w:t>cols</w:t>
            </w:r>
            <w:r>
              <w:t xml:space="preserve">. </w:t>
            </w:r>
            <w:r>
              <w:t xml:space="preserve">The bill requires </w:t>
            </w:r>
            <w:r>
              <w:t>DSHS</w:t>
            </w:r>
            <w:r>
              <w:t xml:space="preserve">, using available resources and as determined appropriate by </w:t>
            </w:r>
            <w:r>
              <w:t>DSHS</w:t>
            </w:r>
            <w:r>
              <w:t xml:space="preserve">, to support access to </w:t>
            </w:r>
            <w:r w:rsidRPr="00E01A44">
              <w:t xml:space="preserve">year-round laboratory testing for vector-borne infectious diseases to record and address local outbreaks of </w:t>
            </w:r>
            <w:r>
              <w:t>such</w:t>
            </w:r>
            <w:r w:rsidRPr="00E01A44">
              <w:t xml:space="preserve"> diseases in the counties of</w:t>
            </w:r>
            <w:r w:rsidRPr="00E01A44">
              <w:t xml:space="preserve"> </w:t>
            </w:r>
            <w:r>
              <w:t>Texas</w:t>
            </w:r>
            <w:r w:rsidRPr="00E01A44">
              <w:t xml:space="preserve"> that are most at risk for </w:t>
            </w:r>
            <w:r w:rsidRPr="00E01A44">
              <w:t>th</w:t>
            </w:r>
            <w:r>
              <w:t>ose</w:t>
            </w:r>
            <w:r w:rsidRPr="00E01A44">
              <w:t xml:space="preserve"> </w:t>
            </w:r>
            <w:r w:rsidRPr="00E01A44">
              <w:t>year-round outbreaks, including</w:t>
            </w:r>
            <w:r>
              <w:t>,</w:t>
            </w:r>
            <w:r w:rsidRPr="00BC60EF">
              <w:t xml:space="preserve"> Maverick, Val Verde, Webb, Zapata, Starr, Hidalgo, Willacy, and Cameron Counties</w:t>
            </w:r>
            <w:r w:rsidRPr="00E01A44">
              <w:t>.</w:t>
            </w:r>
            <w:r>
              <w:t xml:space="preserve"> The bill authorizes </w:t>
            </w:r>
            <w:r>
              <w:t>DSHS</w:t>
            </w:r>
            <w:r>
              <w:t xml:space="preserve"> to make the access directly available or through </w:t>
            </w:r>
            <w:r>
              <w:t>a local</w:t>
            </w:r>
            <w:r>
              <w:t xml:space="preserve"> agreement </w:t>
            </w:r>
            <w:r>
              <w:t xml:space="preserve">as provided by the bill </w:t>
            </w:r>
            <w:r>
              <w:t>and sets out the types of testing</w:t>
            </w:r>
            <w:r>
              <w:t xml:space="preserve"> </w:t>
            </w:r>
            <w:r>
              <w:t xml:space="preserve">the </w:t>
            </w:r>
            <w:r>
              <w:t xml:space="preserve">supported year-round </w:t>
            </w:r>
            <w:r>
              <w:t>laboratory testing may include</w:t>
            </w:r>
            <w:r>
              <w:t>, as appropriate</w:t>
            </w:r>
            <w:r>
              <w:t>.</w:t>
            </w:r>
          </w:p>
          <w:p w:rsidR="00E01A44" w:rsidRDefault="00586FE2" w:rsidP="00582C95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FA4134" w:rsidRDefault="00586FE2" w:rsidP="00582C95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S.B. 1121 makes the requirements for DSHS to implement</w:t>
            </w:r>
            <w:r>
              <w:t xml:space="preserve"> a provision of the bill contingent on a legislative appropriation spe</w:t>
            </w:r>
            <w:r>
              <w:t>cifically for that purpose and otherwise authorizes, but expressly does not require, DSHS to implement such a provision using other appropriations available for that purpose.</w:t>
            </w:r>
          </w:p>
          <w:p w:rsidR="008423E4" w:rsidRPr="00835628" w:rsidRDefault="00586FE2" w:rsidP="00582C95">
            <w:pPr>
              <w:contextualSpacing/>
              <w:rPr>
                <w:b/>
              </w:rPr>
            </w:pPr>
          </w:p>
        </w:tc>
      </w:tr>
      <w:tr w:rsidR="00015276" w:rsidTr="00345119">
        <w:tc>
          <w:tcPr>
            <w:tcW w:w="9576" w:type="dxa"/>
          </w:tcPr>
          <w:p w:rsidR="008423E4" w:rsidRPr="00A8133F" w:rsidRDefault="00586FE2" w:rsidP="001A0C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6FE2" w:rsidP="001A0CCB"/>
          <w:p w:rsidR="008423E4" w:rsidRPr="003624F2" w:rsidRDefault="00586FE2" w:rsidP="001A0C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86FE2" w:rsidP="001A0CCB">
            <w:pPr>
              <w:rPr>
                <w:b/>
              </w:rPr>
            </w:pPr>
          </w:p>
        </w:tc>
      </w:tr>
    </w:tbl>
    <w:p w:rsidR="008423E4" w:rsidRPr="00BE0E75" w:rsidRDefault="00586F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6F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FE2">
      <w:r>
        <w:separator/>
      </w:r>
    </w:p>
  </w:endnote>
  <w:endnote w:type="continuationSeparator" w:id="0">
    <w:p w:rsidR="00000000" w:rsidRDefault="005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5276" w:rsidTr="009C1E9A">
      <w:trPr>
        <w:cantSplit/>
      </w:trPr>
      <w:tc>
        <w:tcPr>
          <w:tcW w:w="0" w:type="pct"/>
        </w:tcPr>
        <w:p w:rsidR="00137D90" w:rsidRDefault="00586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6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6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6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6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276" w:rsidTr="009C1E9A">
      <w:trPr>
        <w:cantSplit/>
      </w:trPr>
      <w:tc>
        <w:tcPr>
          <w:tcW w:w="0" w:type="pct"/>
        </w:tcPr>
        <w:p w:rsidR="00EC379B" w:rsidRDefault="00586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6F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31891</w:t>
          </w:r>
        </w:p>
      </w:tc>
      <w:tc>
        <w:tcPr>
          <w:tcW w:w="2453" w:type="pct"/>
        </w:tcPr>
        <w:p w:rsidR="00EC379B" w:rsidRDefault="00586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19.126.120</w:t>
          </w:r>
          <w:r>
            <w:fldChar w:fldCharType="end"/>
          </w:r>
        </w:p>
      </w:tc>
    </w:tr>
    <w:tr w:rsidR="00015276" w:rsidTr="009C1E9A">
      <w:trPr>
        <w:cantSplit/>
      </w:trPr>
      <w:tc>
        <w:tcPr>
          <w:tcW w:w="0" w:type="pct"/>
        </w:tcPr>
        <w:p w:rsidR="00EC379B" w:rsidRDefault="00586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6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6FE2" w:rsidP="006D504F">
          <w:pPr>
            <w:pStyle w:val="Footer"/>
            <w:rPr>
              <w:rStyle w:val="PageNumber"/>
            </w:rPr>
          </w:pPr>
        </w:p>
        <w:p w:rsidR="00EC379B" w:rsidRDefault="00586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52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6F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86F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6F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FE2">
      <w:r>
        <w:separator/>
      </w:r>
    </w:p>
  </w:footnote>
  <w:footnote w:type="continuationSeparator" w:id="0">
    <w:p w:rsidR="00000000" w:rsidRDefault="0058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25C8"/>
    <w:multiLevelType w:val="hybridMultilevel"/>
    <w:tmpl w:val="2C4E1BC2"/>
    <w:lvl w:ilvl="0" w:tplc="1338C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64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41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29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04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69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D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A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A4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6"/>
    <w:rsid w:val="00015276"/>
    <w:rsid w:val="005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AC5CB-D6E0-4B6B-A660-769D4B6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4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1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3205</Characters>
  <Application>Microsoft Office Word</Application>
  <DocSecurity>4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SB01121 (Committee Report (Unamended))</vt:lpstr>
    </vt:vector>
  </TitlesOfParts>
  <Company>State of Texas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31891</dc:subject>
  <dc:creator>State of Texas</dc:creator>
  <dc:description>SB 1121 by Lucio-(H)Public Health</dc:description>
  <cp:lastModifiedBy>Scotty Wimberley</cp:lastModifiedBy>
  <cp:revision>2</cp:revision>
  <cp:lastPrinted>2003-11-26T17:21:00Z</cp:lastPrinted>
  <dcterms:created xsi:type="dcterms:W3CDTF">2019-05-15T17:03:00Z</dcterms:created>
  <dcterms:modified xsi:type="dcterms:W3CDTF">2019-05-15T17:03:00Z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19.126.120</vt:lpwstr>
  </property>
</Properties>
</file>