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E7" w:rsidRDefault="003F76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08342F1250E42C6AC62E3FE1406B06C"/>
          </w:placeholder>
        </w:sdtPr>
        <w:sdtContent>
          <w:r w:rsidRPr="005C2A78">
            <w:rPr>
              <w:rFonts w:cs="Times New Roman"/>
              <w:b/>
              <w:szCs w:val="24"/>
              <w:u w:val="single"/>
            </w:rPr>
            <w:t>BILL ANALYSIS</w:t>
          </w:r>
        </w:sdtContent>
      </w:sdt>
    </w:p>
    <w:p w:rsidR="003F76E7" w:rsidRPr="00585C31" w:rsidRDefault="003F76E7" w:rsidP="000F1DF9">
      <w:pPr>
        <w:spacing w:after="0" w:line="240" w:lineRule="auto"/>
        <w:rPr>
          <w:rFonts w:cs="Times New Roman"/>
          <w:szCs w:val="24"/>
        </w:rPr>
      </w:pPr>
    </w:p>
    <w:p w:rsidR="003F76E7" w:rsidRPr="00585C31" w:rsidRDefault="003F76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76E7" w:rsidTr="000F1DF9">
        <w:tc>
          <w:tcPr>
            <w:tcW w:w="2718" w:type="dxa"/>
          </w:tcPr>
          <w:p w:rsidR="003F76E7" w:rsidRPr="005C2A78" w:rsidRDefault="003F76E7" w:rsidP="006D756B">
            <w:pPr>
              <w:rPr>
                <w:rFonts w:cs="Times New Roman"/>
                <w:szCs w:val="24"/>
              </w:rPr>
            </w:pPr>
            <w:sdt>
              <w:sdtPr>
                <w:rPr>
                  <w:rFonts w:cs="Times New Roman"/>
                  <w:szCs w:val="24"/>
                </w:rPr>
                <w:alias w:val="Agency Title"/>
                <w:tag w:val="AgencyTitleContentControl"/>
                <w:id w:val="1920747753"/>
                <w:lock w:val="sdtContentLocked"/>
                <w:placeholder>
                  <w:docPart w:val="818A2A908B83427984EA0D87D6994621"/>
                </w:placeholder>
              </w:sdtPr>
              <w:sdtEndPr>
                <w:rPr>
                  <w:rFonts w:cstheme="minorBidi"/>
                  <w:szCs w:val="22"/>
                </w:rPr>
              </w:sdtEndPr>
              <w:sdtContent>
                <w:r>
                  <w:rPr>
                    <w:rFonts w:cs="Times New Roman"/>
                    <w:szCs w:val="24"/>
                  </w:rPr>
                  <w:t>Senate Research Center</w:t>
                </w:r>
              </w:sdtContent>
            </w:sdt>
          </w:p>
        </w:tc>
        <w:tc>
          <w:tcPr>
            <w:tcW w:w="6858" w:type="dxa"/>
          </w:tcPr>
          <w:p w:rsidR="003F76E7" w:rsidRPr="00FF6471" w:rsidRDefault="003F76E7" w:rsidP="000F1DF9">
            <w:pPr>
              <w:jc w:val="right"/>
              <w:rPr>
                <w:rFonts w:cs="Times New Roman"/>
                <w:szCs w:val="24"/>
              </w:rPr>
            </w:pPr>
            <w:sdt>
              <w:sdtPr>
                <w:rPr>
                  <w:rFonts w:cs="Times New Roman"/>
                  <w:szCs w:val="24"/>
                </w:rPr>
                <w:alias w:val="Bill Number"/>
                <w:tag w:val="BillNumberOne"/>
                <w:id w:val="-410784069"/>
                <w:lock w:val="sdtContentLocked"/>
                <w:placeholder>
                  <w:docPart w:val="0E4E6657DC6E4B099B08DEA9827108DF"/>
                </w:placeholder>
              </w:sdtPr>
              <w:sdtContent>
                <w:r>
                  <w:rPr>
                    <w:rFonts w:cs="Times New Roman"/>
                    <w:szCs w:val="24"/>
                  </w:rPr>
                  <w:t>C.S.S.B. 1129</w:t>
                </w:r>
              </w:sdtContent>
            </w:sdt>
          </w:p>
        </w:tc>
      </w:tr>
      <w:tr w:rsidR="003F76E7" w:rsidTr="000F1DF9">
        <w:sdt>
          <w:sdtPr>
            <w:rPr>
              <w:rFonts w:cs="Times New Roman"/>
              <w:szCs w:val="24"/>
            </w:rPr>
            <w:alias w:val="TLCNumber"/>
            <w:tag w:val="TLCNumber"/>
            <w:id w:val="-542600604"/>
            <w:lock w:val="sdtLocked"/>
            <w:placeholder>
              <w:docPart w:val="4E3FDFBD5C0243749C104CB65986CD49"/>
            </w:placeholder>
          </w:sdtPr>
          <w:sdtContent>
            <w:tc>
              <w:tcPr>
                <w:tcW w:w="2718" w:type="dxa"/>
              </w:tcPr>
              <w:p w:rsidR="003F76E7" w:rsidRPr="000F1DF9" w:rsidRDefault="003F76E7" w:rsidP="00C65088">
                <w:pPr>
                  <w:rPr>
                    <w:rFonts w:cs="Times New Roman"/>
                    <w:szCs w:val="24"/>
                  </w:rPr>
                </w:pPr>
                <w:r>
                  <w:rPr>
                    <w:rFonts w:cs="Times New Roman"/>
                    <w:szCs w:val="24"/>
                  </w:rPr>
                  <w:t>86R25253 JAM-D</w:t>
                </w:r>
              </w:p>
            </w:tc>
          </w:sdtContent>
        </w:sdt>
        <w:tc>
          <w:tcPr>
            <w:tcW w:w="6858" w:type="dxa"/>
          </w:tcPr>
          <w:p w:rsidR="003F76E7" w:rsidRPr="005C2A78" w:rsidRDefault="003F76E7" w:rsidP="006D756B">
            <w:pPr>
              <w:jc w:val="right"/>
              <w:rPr>
                <w:rFonts w:cs="Times New Roman"/>
                <w:szCs w:val="24"/>
              </w:rPr>
            </w:pPr>
            <w:sdt>
              <w:sdtPr>
                <w:rPr>
                  <w:rFonts w:cs="Times New Roman"/>
                  <w:szCs w:val="24"/>
                </w:rPr>
                <w:alias w:val="Author Label"/>
                <w:tag w:val="By"/>
                <w:id w:val="72399597"/>
                <w:lock w:val="sdtLocked"/>
                <w:placeholder>
                  <w:docPart w:val="7AA6094724964FAF953BDA3DBF94D4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91E08668524FDDA7B8EF6E78A61105"/>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0ACD02B3D9494F96A9CE3D83867A528E"/>
                </w:placeholder>
                <w:showingPlcHdr/>
              </w:sdtPr>
              <w:sdtContent/>
            </w:sdt>
          </w:p>
        </w:tc>
      </w:tr>
      <w:tr w:rsidR="003F76E7" w:rsidTr="000F1DF9">
        <w:tc>
          <w:tcPr>
            <w:tcW w:w="2718" w:type="dxa"/>
          </w:tcPr>
          <w:p w:rsidR="003F76E7" w:rsidRPr="00BC7495" w:rsidRDefault="003F76E7" w:rsidP="000F1DF9">
            <w:pPr>
              <w:rPr>
                <w:rFonts w:cs="Times New Roman"/>
                <w:szCs w:val="24"/>
              </w:rPr>
            </w:pPr>
          </w:p>
        </w:tc>
        <w:sdt>
          <w:sdtPr>
            <w:rPr>
              <w:rFonts w:cs="Times New Roman"/>
              <w:szCs w:val="24"/>
            </w:rPr>
            <w:alias w:val="Committee"/>
            <w:tag w:val="Committee"/>
            <w:id w:val="1914272295"/>
            <w:lock w:val="sdtContentLocked"/>
            <w:placeholder>
              <w:docPart w:val="2A47E0773F114BE8823A1992770652C6"/>
            </w:placeholder>
          </w:sdtPr>
          <w:sdtContent>
            <w:tc>
              <w:tcPr>
                <w:tcW w:w="6858" w:type="dxa"/>
              </w:tcPr>
              <w:p w:rsidR="003F76E7" w:rsidRPr="00FF6471" w:rsidRDefault="003F76E7" w:rsidP="000F1DF9">
                <w:pPr>
                  <w:jc w:val="right"/>
                  <w:rPr>
                    <w:rFonts w:cs="Times New Roman"/>
                    <w:szCs w:val="24"/>
                  </w:rPr>
                </w:pPr>
                <w:r>
                  <w:rPr>
                    <w:rFonts w:cs="Times New Roman"/>
                    <w:szCs w:val="24"/>
                  </w:rPr>
                  <w:t>Intergovernmental Relations</w:t>
                </w:r>
              </w:p>
            </w:tc>
          </w:sdtContent>
        </w:sdt>
      </w:tr>
      <w:tr w:rsidR="003F76E7" w:rsidTr="000F1DF9">
        <w:tc>
          <w:tcPr>
            <w:tcW w:w="2718" w:type="dxa"/>
          </w:tcPr>
          <w:p w:rsidR="003F76E7" w:rsidRPr="00BC7495" w:rsidRDefault="003F76E7" w:rsidP="000F1DF9">
            <w:pPr>
              <w:rPr>
                <w:rFonts w:cs="Times New Roman"/>
                <w:szCs w:val="24"/>
              </w:rPr>
            </w:pPr>
          </w:p>
        </w:tc>
        <w:sdt>
          <w:sdtPr>
            <w:rPr>
              <w:rFonts w:cs="Times New Roman"/>
              <w:szCs w:val="24"/>
            </w:rPr>
            <w:alias w:val="Date"/>
            <w:tag w:val="DateContentControl"/>
            <w:id w:val="1178081906"/>
            <w:lock w:val="sdtLocked"/>
            <w:placeholder>
              <w:docPart w:val="B33F4770866E4981A4A91411F2365BF7"/>
            </w:placeholder>
            <w:date w:fullDate="2019-04-10T00:00:00Z">
              <w:dateFormat w:val="M/d/yyyy"/>
              <w:lid w:val="en-US"/>
              <w:storeMappedDataAs w:val="dateTime"/>
              <w:calendar w:val="gregorian"/>
            </w:date>
          </w:sdtPr>
          <w:sdtContent>
            <w:tc>
              <w:tcPr>
                <w:tcW w:w="6858" w:type="dxa"/>
              </w:tcPr>
              <w:p w:rsidR="003F76E7" w:rsidRPr="00FF6471" w:rsidRDefault="003F76E7" w:rsidP="000F1DF9">
                <w:pPr>
                  <w:jc w:val="right"/>
                  <w:rPr>
                    <w:rFonts w:cs="Times New Roman"/>
                    <w:szCs w:val="24"/>
                  </w:rPr>
                </w:pPr>
                <w:r>
                  <w:rPr>
                    <w:rFonts w:cs="Times New Roman"/>
                    <w:szCs w:val="24"/>
                  </w:rPr>
                  <w:t>4/10/2019</w:t>
                </w:r>
              </w:p>
            </w:tc>
          </w:sdtContent>
        </w:sdt>
      </w:tr>
      <w:tr w:rsidR="003F76E7" w:rsidTr="000F1DF9">
        <w:tc>
          <w:tcPr>
            <w:tcW w:w="2718" w:type="dxa"/>
          </w:tcPr>
          <w:p w:rsidR="003F76E7" w:rsidRPr="00BC7495" w:rsidRDefault="003F76E7" w:rsidP="000F1DF9">
            <w:pPr>
              <w:rPr>
                <w:rFonts w:cs="Times New Roman"/>
                <w:szCs w:val="24"/>
              </w:rPr>
            </w:pPr>
          </w:p>
        </w:tc>
        <w:sdt>
          <w:sdtPr>
            <w:rPr>
              <w:rFonts w:cs="Times New Roman"/>
              <w:szCs w:val="24"/>
            </w:rPr>
            <w:alias w:val="BA Version"/>
            <w:tag w:val="BAVersion"/>
            <w:id w:val="-1685590809"/>
            <w:lock w:val="sdtContentLocked"/>
            <w:placeholder>
              <w:docPart w:val="663411ED748C44B58C8C084FED7C3D13"/>
            </w:placeholder>
          </w:sdtPr>
          <w:sdtContent>
            <w:tc>
              <w:tcPr>
                <w:tcW w:w="6858" w:type="dxa"/>
              </w:tcPr>
              <w:p w:rsidR="003F76E7" w:rsidRPr="00FF6471" w:rsidRDefault="003F76E7" w:rsidP="000F1DF9">
                <w:pPr>
                  <w:jc w:val="right"/>
                  <w:rPr>
                    <w:rFonts w:cs="Times New Roman"/>
                    <w:szCs w:val="24"/>
                  </w:rPr>
                </w:pPr>
                <w:r>
                  <w:rPr>
                    <w:rFonts w:cs="Times New Roman"/>
                    <w:szCs w:val="24"/>
                  </w:rPr>
                  <w:t>Committee Report (Substituted)</w:t>
                </w:r>
              </w:p>
            </w:tc>
          </w:sdtContent>
        </w:sdt>
      </w:tr>
    </w:tbl>
    <w:p w:rsidR="003F76E7" w:rsidRPr="00FF6471" w:rsidRDefault="003F76E7" w:rsidP="000F1DF9">
      <w:pPr>
        <w:spacing w:after="0" w:line="240" w:lineRule="auto"/>
        <w:rPr>
          <w:rFonts w:cs="Times New Roman"/>
          <w:szCs w:val="24"/>
        </w:rPr>
      </w:pPr>
    </w:p>
    <w:p w:rsidR="003F76E7" w:rsidRPr="00FF6471" w:rsidRDefault="003F76E7" w:rsidP="000F1DF9">
      <w:pPr>
        <w:spacing w:after="0" w:line="240" w:lineRule="auto"/>
        <w:rPr>
          <w:rFonts w:cs="Times New Roman"/>
          <w:szCs w:val="24"/>
        </w:rPr>
      </w:pPr>
    </w:p>
    <w:p w:rsidR="003F76E7" w:rsidRPr="00FF6471" w:rsidRDefault="003F76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5B0859101F498FAC475987A1281D8A"/>
        </w:placeholder>
      </w:sdtPr>
      <w:sdtContent>
        <w:p w:rsidR="003F76E7" w:rsidRDefault="003F76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BD35C3C4CF428EB2A26920876A686D"/>
        </w:placeholder>
      </w:sdtPr>
      <w:sdtContent>
        <w:p w:rsidR="003F76E7" w:rsidRDefault="003F76E7" w:rsidP="00173949">
          <w:pPr>
            <w:pStyle w:val="NormalWeb"/>
            <w:spacing w:before="0" w:beforeAutospacing="0" w:after="0" w:afterAutospacing="0"/>
            <w:jc w:val="both"/>
            <w:divId w:val="700857914"/>
            <w:rPr>
              <w:rFonts w:eastAsia="Times New Roman"/>
              <w:bCs/>
            </w:rPr>
          </w:pPr>
        </w:p>
        <w:p w:rsidR="003F76E7" w:rsidRDefault="003F76E7" w:rsidP="00173949">
          <w:pPr>
            <w:pStyle w:val="NormalWeb"/>
            <w:spacing w:before="0" w:beforeAutospacing="0" w:after="0" w:afterAutospacing="0"/>
            <w:jc w:val="both"/>
            <w:divId w:val="700857914"/>
            <w:rPr>
              <w:color w:val="000000"/>
            </w:rPr>
          </w:pPr>
          <w:r w:rsidRPr="0035535B">
            <w:rPr>
              <w:color w:val="000000"/>
            </w:rPr>
            <w:t>Chapter 379 of the Local Government Code is the Urban Land Bank Demonstration Program Act. When a statutorily eligible municipality adopts a land bank demonstration program, it can buy real property that is subject to property tax foreclosure for the purpose of developing affordable housing with qualified participating developers. The City of Dallas, which has adopted such a program, has found that the current statute can inhibit the city's effective use of the program.</w:t>
          </w:r>
        </w:p>
        <w:p w:rsidR="003F76E7" w:rsidRPr="0035535B" w:rsidRDefault="003F76E7" w:rsidP="00173949">
          <w:pPr>
            <w:pStyle w:val="NormalWeb"/>
            <w:spacing w:before="0" w:beforeAutospacing="0" w:after="0" w:afterAutospacing="0"/>
            <w:jc w:val="both"/>
            <w:divId w:val="700857914"/>
            <w:rPr>
              <w:color w:val="000000"/>
            </w:rPr>
          </w:pPr>
        </w:p>
        <w:p w:rsidR="003F76E7" w:rsidRPr="0035535B" w:rsidRDefault="003F76E7" w:rsidP="00173949">
          <w:pPr>
            <w:pStyle w:val="NormalWeb"/>
            <w:spacing w:before="0" w:beforeAutospacing="0" w:after="0" w:afterAutospacing="0"/>
            <w:jc w:val="both"/>
            <w:divId w:val="700857914"/>
            <w:rPr>
              <w:color w:val="000000"/>
            </w:rPr>
          </w:pPr>
          <w:r w:rsidRPr="0035535B">
            <w:rPr>
              <w:color w:val="000000"/>
            </w:rPr>
            <w:t>Accordingly, S</w:t>
          </w:r>
          <w:r>
            <w:rPr>
              <w:color w:val="000000"/>
            </w:rPr>
            <w:t>.</w:t>
          </w:r>
          <w:r w:rsidRPr="0035535B">
            <w:rPr>
              <w:color w:val="000000"/>
            </w:rPr>
            <w:t>B</w:t>
          </w:r>
          <w:r>
            <w:rPr>
              <w:color w:val="000000"/>
            </w:rPr>
            <w:t>.</w:t>
          </w:r>
          <w:r w:rsidRPr="0035535B">
            <w:rPr>
              <w:color w:val="000000"/>
            </w:rPr>
            <w:t xml:space="preserve"> 1129 extends </w:t>
          </w:r>
          <w:r>
            <w:rPr>
              <w:color w:val="000000"/>
            </w:rPr>
            <w:t>from four to eight</w:t>
          </w:r>
          <w:r w:rsidRPr="0035535B">
            <w:rPr>
              <w:color w:val="000000"/>
            </w:rPr>
            <w:t xml:space="preserve"> years</w:t>
          </w:r>
          <w:r>
            <w:rPr>
              <w:color w:val="000000"/>
            </w:rPr>
            <w:t xml:space="preserve"> the time period</w:t>
          </w:r>
          <w:r w:rsidRPr="0035535B">
            <w:rPr>
              <w:color w:val="000000"/>
            </w:rPr>
            <w:t xml:space="preserve"> that a land bank </w:t>
          </w:r>
          <w:r>
            <w:rPr>
              <w:color w:val="000000"/>
            </w:rPr>
            <w:t>is authorized to "</w:t>
          </w:r>
          <w:r w:rsidRPr="0035535B">
            <w:rPr>
              <w:color w:val="000000"/>
            </w:rPr>
            <w:t>bank</w:t>
          </w:r>
          <w:r>
            <w:rPr>
              <w:color w:val="000000"/>
            </w:rPr>
            <w:t>"</w:t>
          </w:r>
          <w:r w:rsidRPr="0035535B">
            <w:rPr>
              <w:color w:val="000000"/>
            </w:rPr>
            <w:t xml:space="preserve"> a property before it </w:t>
          </w:r>
          <w:r>
            <w:rPr>
              <w:color w:val="000000"/>
            </w:rPr>
            <w:t>is required to</w:t>
          </w:r>
          <w:r w:rsidRPr="0035535B">
            <w:rPr>
              <w:color w:val="000000"/>
            </w:rPr>
            <w:t xml:space="preserve"> be transferred back to the taxing entities from which it was purchased. S</w:t>
          </w:r>
          <w:r>
            <w:rPr>
              <w:color w:val="000000"/>
            </w:rPr>
            <w:t>.</w:t>
          </w:r>
          <w:r w:rsidRPr="0035535B">
            <w:rPr>
              <w:color w:val="000000"/>
            </w:rPr>
            <w:t>B</w:t>
          </w:r>
          <w:r>
            <w:rPr>
              <w:color w:val="000000"/>
            </w:rPr>
            <w:t>.</w:t>
          </w:r>
          <w:r w:rsidRPr="0035535B">
            <w:rPr>
              <w:color w:val="000000"/>
            </w:rPr>
            <w:t xml:space="preserve"> 1129 also r</w:t>
          </w:r>
          <w:r>
            <w:rPr>
              <w:color w:val="000000"/>
            </w:rPr>
            <w:t>emoves the requirement that 100 percent</w:t>
          </w:r>
          <w:r w:rsidRPr="0035535B">
            <w:rPr>
              <w:color w:val="000000"/>
            </w:rPr>
            <w:t xml:space="preserve"> of the units in a rental property built on a land bank lot be reserved for families making incomes not greater than 60</w:t>
          </w:r>
          <w:r>
            <w:rPr>
              <w:color w:val="000000"/>
            </w:rPr>
            <w:t xml:space="preserve"> percent of a</w:t>
          </w:r>
          <w:r w:rsidRPr="0035535B">
            <w:rPr>
              <w:color w:val="000000"/>
            </w:rPr>
            <w:t xml:space="preserve">rea </w:t>
          </w:r>
          <w:r>
            <w:rPr>
              <w:color w:val="000000"/>
            </w:rPr>
            <w:t>family m</w:t>
          </w:r>
          <w:r w:rsidRPr="0035535B">
            <w:rPr>
              <w:color w:val="000000"/>
            </w:rPr>
            <w:t xml:space="preserve">edian </w:t>
          </w:r>
          <w:r>
            <w:rPr>
              <w:color w:val="000000"/>
            </w:rPr>
            <w:t>i</w:t>
          </w:r>
          <w:r w:rsidRPr="0035535B">
            <w:rPr>
              <w:color w:val="000000"/>
            </w:rPr>
            <w:t>ncome</w:t>
          </w:r>
          <w:r>
            <w:rPr>
              <w:color w:val="000000"/>
            </w:rPr>
            <w:t xml:space="preserve"> (AFMI)</w:t>
          </w:r>
          <w:r w:rsidRPr="0035535B">
            <w:rPr>
              <w:color w:val="000000"/>
            </w:rPr>
            <w:t xml:space="preserve"> and instead requires the rental housing development to include a mix of market-rate units and units, as follows:</w:t>
          </w:r>
        </w:p>
        <w:p w:rsidR="003F76E7" w:rsidRPr="0035535B" w:rsidRDefault="003F76E7" w:rsidP="00173949">
          <w:pPr>
            <w:pStyle w:val="NormalWeb"/>
            <w:numPr>
              <w:ilvl w:val="0"/>
              <w:numId w:val="1"/>
            </w:numPr>
            <w:spacing w:before="0" w:beforeAutospacing="0" w:after="0" w:afterAutospacing="0"/>
            <w:jc w:val="both"/>
            <w:divId w:val="700857914"/>
            <w:rPr>
              <w:color w:val="000000"/>
            </w:rPr>
          </w:pPr>
          <w:r w:rsidRPr="0035535B">
            <w:rPr>
              <w:color w:val="000000"/>
            </w:rPr>
            <w:t>40</w:t>
          </w:r>
          <w:r>
            <w:rPr>
              <w:color w:val="000000"/>
            </w:rPr>
            <w:t xml:space="preserve"> percent</w:t>
          </w:r>
          <w:r w:rsidRPr="0035535B">
            <w:rPr>
              <w:color w:val="000000"/>
            </w:rPr>
            <w:t xml:space="preserve"> at incomes not greater than 60 percent of </w:t>
          </w:r>
          <w:r>
            <w:rPr>
              <w:color w:val="000000"/>
            </w:rPr>
            <w:t>AFMI</w:t>
          </w:r>
          <w:r w:rsidRPr="0035535B">
            <w:rPr>
              <w:color w:val="000000"/>
            </w:rPr>
            <w:t xml:space="preserve">; </w:t>
          </w:r>
        </w:p>
        <w:p w:rsidR="003F76E7" w:rsidRPr="0035535B" w:rsidRDefault="003F76E7" w:rsidP="00173949">
          <w:pPr>
            <w:pStyle w:val="NormalWeb"/>
            <w:numPr>
              <w:ilvl w:val="0"/>
              <w:numId w:val="1"/>
            </w:numPr>
            <w:spacing w:before="0" w:beforeAutospacing="0" w:after="0" w:afterAutospacing="0"/>
            <w:jc w:val="both"/>
            <w:divId w:val="700857914"/>
            <w:rPr>
              <w:color w:val="000000"/>
            </w:rPr>
          </w:pPr>
          <w:r>
            <w:rPr>
              <w:color w:val="000000"/>
            </w:rPr>
            <w:t>30 percent</w:t>
          </w:r>
          <w:r w:rsidRPr="0035535B">
            <w:rPr>
              <w:color w:val="000000"/>
            </w:rPr>
            <w:t xml:space="preserve"> at incomes not greater than 50 percent of AFMI; or </w:t>
          </w:r>
        </w:p>
        <w:p w:rsidR="003F76E7" w:rsidRPr="0035535B" w:rsidRDefault="003F76E7" w:rsidP="00173949">
          <w:pPr>
            <w:pStyle w:val="NormalWeb"/>
            <w:numPr>
              <w:ilvl w:val="0"/>
              <w:numId w:val="1"/>
            </w:numPr>
            <w:spacing w:before="0" w:beforeAutospacing="0" w:after="0" w:afterAutospacing="0"/>
            <w:jc w:val="both"/>
            <w:divId w:val="700857914"/>
            <w:rPr>
              <w:color w:val="000000"/>
            </w:rPr>
          </w:pPr>
          <w:r>
            <w:rPr>
              <w:color w:val="000000"/>
            </w:rPr>
            <w:t>20 percent</w:t>
          </w:r>
          <w:r w:rsidRPr="0035535B">
            <w:rPr>
              <w:color w:val="000000"/>
            </w:rPr>
            <w:t xml:space="preserve"> at incomes not greater than 30 percent of AFMI (current law).</w:t>
          </w:r>
        </w:p>
        <w:p w:rsidR="003F76E7" w:rsidRPr="0035535B" w:rsidRDefault="003F76E7" w:rsidP="00173949">
          <w:pPr>
            <w:pStyle w:val="NormalWeb"/>
            <w:spacing w:before="0" w:beforeAutospacing="0" w:after="0" w:afterAutospacing="0"/>
            <w:jc w:val="both"/>
            <w:divId w:val="700857914"/>
            <w:rPr>
              <w:color w:val="000000"/>
            </w:rPr>
          </w:pPr>
          <w:r w:rsidRPr="0035535B">
            <w:rPr>
              <w:color w:val="000000"/>
            </w:rPr>
            <w:t>Finally, S</w:t>
          </w:r>
          <w:r>
            <w:rPr>
              <w:color w:val="000000"/>
            </w:rPr>
            <w:t>.</w:t>
          </w:r>
          <w:r w:rsidRPr="0035535B">
            <w:rPr>
              <w:color w:val="000000"/>
            </w:rPr>
            <w:t>B</w:t>
          </w:r>
          <w:r>
            <w:rPr>
              <w:color w:val="000000"/>
            </w:rPr>
            <w:t>.</w:t>
          </w:r>
          <w:r w:rsidRPr="0035535B">
            <w:rPr>
              <w:color w:val="000000"/>
            </w:rPr>
            <w:t xml:space="preserve"> 1129 provides a stable funding source for a land bank by allowing for property tax recapture related to land bank lots. Specifically, for a five-year period after the construction and sale, rental or lease-purchase of a single family, multi</w:t>
          </w:r>
          <w:r>
            <w:rPr>
              <w:color w:val="000000"/>
            </w:rPr>
            <w:t>-</w:t>
          </w:r>
          <w:r w:rsidRPr="0035535B">
            <w:rPr>
              <w:color w:val="000000"/>
            </w:rPr>
            <w:t>family or commercial property on a land bank lot, 50</w:t>
          </w:r>
          <w:r>
            <w:rPr>
              <w:color w:val="000000"/>
            </w:rPr>
            <w:t xml:space="preserve"> percent</w:t>
          </w:r>
          <w:r w:rsidRPr="0035535B">
            <w:rPr>
              <w:color w:val="000000"/>
            </w:rPr>
            <w:t xml:space="preserve"> of all property tax revenues </w:t>
          </w:r>
          <w:r>
            <w:rPr>
              <w:color w:val="000000"/>
            </w:rPr>
            <w:t>are authorized to</w:t>
          </w:r>
          <w:r w:rsidRPr="0035535B">
            <w:rPr>
              <w:color w:val="000000"/>
            </w:rPr>
            <w:t xml:space="preserve"> be paid into a land bank fund, subject to the consent of all of the taxing units.</w:t>
          </w:r>
        </w:p>
        <w:p w:rsidR="003F76E7" w:rsidRPr="00D70925" w:rsidRDefault="003F76E7" w:rsidP="00173949">
          <w:pPr>
            <w:spacing w:after="0" w:line="240" w:lineRule="auto"/>
            <w:jc w:val="both"/>
            <w:rPr>
              <w:rFonts w:eastAsia="Times New Roman" w:cs="Times New Roman"/>
              <w:bCs/>
              <w:szCs w:val="24"/>
            </w:rPr>
          </w:pPr>
        </w:p>
      </w:sdtContent>
    </w:sdt>
    <w:p w:rsidR="003F76E7" w:rsidRDefault="003F76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1129 </w:t>
      </w:r>
      <w:bookmarkStart w:id="1" w:name="AmendsCurrentLaw"/>
      <w:bookmarkEnd w:id="1"/>
      <w:r>
        <w:rPr>
          <w:rFonts w:cs="Times New Roman"/>
          <w:szCs w:val="24"/>
        </w:rPr>
        <w:t>amends current law relating to the operation of certain urban land bank demonstration programs.</w:t>
      </w:r>
    </w:p>
    <w:p w:rsidR="003F76E7" w:rsidRPr="0035535B" w:rsidRDefault="003F76E7" w:rsidP="000F1DF9">
      <w:pPr>
        <w:spacing w:after="0" w:line="240" w:lineRule="auto"/>
        <w:jc w:val="both"/>
        <w:rPr>
          <w:rFonts w:eastAsia="Times New Roman" w:cs="Times New Roman"/>
          <w:szCs w:val="24"/>
        </w:rPr>
      </w:pPr>
    </w:p>
    <w:p w:rsidR="003F76E7" w:rsidRPr="005C2A78" w:rsidRDefault="003F76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B60797BEDE4FE2A495F71606459748"/>
          </w:placeholder>
        </w:sdtPr>
        <w:sdtContent>
          <w:r>
            <w:rPr>
              <w:rFonts w:eastAsia="Times New Roman" w:cs="Times New Roman"/>
              <w:b/>
              <w:szCs w:val="24"/>
              <w:u w:val="single"/>
            </w:rPr>
            <w:t>RULEMAKING AUTHORITY</w:t>
          </w:r>
        </w:sdtContent>
      </w:sdt>
    </w:p>
    <w:p w:rsidR="003F76E7" w:rsidRDefault="003F76E7" w:rsidP="00774EC7">
      <w:pPr>
        <w:spacing w:after="0" w:line="240" w:lineRule="auto"/>
        <w:jc w:val="both"/>
        <w:rPr>
          <w:rFonts w:cs="Times New Roman"/>
          <w:szCs w:val="24"/>
        </w:rPr>
      </w:pPr>
    </w:p>
    <w:p w:rsidR="003F76E7" w:rsidRPr="006529C4" w:rsidRDefault="003F76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76E7" w:rsidRPr="006529C4" w:rsidRDefault="003F76E7" w:rsidP="00774EC7">
      <w:pPr>
        <w:spacing w:after="0" w:line="240" w:lineRule="auto"/>
        <w:jc w:val="both"/>
        <w:rPr>
          <w:rFonts w:cs="Times New Roman"/>
          <w:szCs w:val="24"/>
        </w:rPr>
      </w:pPr>
    </w:p>
    <w:p w:rsidR="003F76E7" w:rsidRPr="005C2A78" w:rsidRDefault="003F76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2ECFD9B48247BC8ADC6FBEF20D743D"/>
          </w:placeholder>
        </w:sdtPr>
        <w:sdtContent>
          <w:r>
            <w:rPr>
              <w:rFonts w:eastAsia="Times New Roman" w:cs="Times New Roman"/>
              <w:b/>
              <w:szCs w:val="24"/>
              <w:u w:val="single"/>
            </w:rPr>
            <w:t>SECTION BY SECTION ANALYSIS</w:t>
          </w:r>
        </w:sdtContent>
      </w:sdt>
    </w:p>
    <w:p w:rsidR="003F76E7" w:rsidRPr="005C2A78" w:rsidRDefault="003F76E7" w:rsidP="000F1DF9">
      <w:pPr>
        <w:spacing w:after="0" w:line="240" w:lineRule="auto"/>
        <w:jc w:val="both"/>
        <w:rPr>
          <w:rFonts w:eastAsia="Times New Roman" w:cs="Times New Roman"/>
          <w:szCs w:val="24"/>
        </w:rPr>
      </w:pPr>
    </w:p>
    <w:p w:rsidR="003F76E7" w:rsidRDefault="003F76E7" w:rsidP="001739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379C.009(b), (b-1), and (b-2), Local Government Code, as follows: </w:t>
      </w:r>
    </w:p>
    <w:p w:rsidR="003F76E7" w:rsidRDefault="003F76E7" w:rsidP="00173949">
      <w:pPr>
        <w:spacing w:after="0" w:line="240" w:lineRule="auto"/>
        <w:jc w:val="both"/>
        <w:rPr>
          <w:rFonts w:eastAsia="Times New Roman" w:cs="Times New Roman"/>
          <w:szCs w:val="24"/>
        </w:rPr>
      </w:pPr>
    </w:p>
    <w:p w:rsidR="003F76E7" w:rsidRDefault="003F76E7" w:rsidP="00173949">
      <w:pPr>
        <w:spacing w:line="240" w:lineRule="auto"/>
        <w:ind w:left="720"/>
        <w:jc w:val="both"/>
        <w:rPr>
          <w:rFonts w:eastAsia="Times New Roman" w:cs="Times New Roman"/>
          <w:szCs w:val="24"/>
        </w:rPr>
      </w:pPr>
      <w:r>
        <w:rPr>
          <w:rFonts w:eastAsia="Times New Roman" w:cs="Times New Roman"/>
          <w:szCs w:val="24"/>
        </w:rPr>
        <w:t>(b) Requires the land bank engaged in subsequent resale of property, e</w:t>
      </w:r>
      <w:r w:rsidRPr="00133DCE">
        <w:rPr>
          <w:rFonts w:eastAsia="Times New Roman" w:cs="Times New Roman"/>
          <w:szCs w:val="24"/>
        </w:rPr>
        <w:t xml:space="preserve">xcept as provided by Subsection (b-1), </w:t>
      </w:r>
      <w:r>
        <w:rPr>
          <w:rFonts w:eastAsia="Times New Roman" w:cs="Times New Roman"/>
          <w:szCs w:val="24"/>
        </w:rPr>
        <w:t xml:space="preserve">to </w:t>
      </w:r>
      <w:r w:rsidRPr="00133DCE">
        <w:rPr>
          <w:rFonts w:eastAsia="Times New Roman" w:cs="Times New Roman"/>
          <w:szCs w:val="24"/>
        </w:rPr>
        <w:t>sell a property to a qualified participating developer within the eight-year, rather than four-year</w:t>
      </w:r>
      <w:r>
        <w:rPr>
          <w:rFonts w:eastAsia="Times New Roman" w:cs="Times New Roman"/>
          <w:szCs w:val="24"/>
        </w:rPr>
        <w:t>,</w:t>
      </w:r>
      <w:r w:rsidRPr="00133DCE">
        <w:rPr>
          <w:rFonts w:eastAsia="Times New Roman" w:cs="Times New Roman"/>
          <w:szCs w:val="24"/>
        </w:rPr>
        <w:t xml:space="preserve"> period following the date of acquisition for the purpose of construction of affordable housing for sale or rent to low income households.</w:t>
      </w:r>
      <w:r>
        <w:rPr>
          <w:rFonts w:eastAsia="Times New Roman" w:cs="Times New Roman"/>
          <w:szCs w:val="24"/>
        </w:rPr>
        <w:t xml:space="preserve"> </w:t>
      </w:r>
    </w:p>
    <w:p w:rsidR="003F76E7" w:rsidRDefault="003F76E7" w:rsidP="00173949">
      <w:pPr>
        <w:spacing w:line="240" w:lineRule="auto"/>
        <w:ind w:left="720"/>
        <w:jc w:val="both"/>
        <w:rPr>
          <w:rFonts w:eastAsia="Times New Roman" w:cs="Times New Roman"/>
          <w:szCs w:val="24"/>
        </w:rPr>
      </w:pPr>
      <w:r>
        <w:rPr>
          <w:rFonts w:eastAsia="Times New Roman" w:cs="Times New Roman"/>
          <w:szCs w:val="24"/>
        </w:rPr>
        <w:t xml:space="preserve">(b-1) Makes a conforming change and authorizes the land bank, before the completion of the eight-year period described by Subsection (b), subject to Section 379C.0106 (Property Determined to be Inappropriate For Residential Development; Right of First Refusal), to: </w:t>
      </w:r>
    </w:p>
    <w:p w:rsidR="003F76E7" w:rsidRDefault="003F76E7" w:rsidP="00173949">
      <w:pPr>
        <w:spacing w:line="240" w:lineRule="auto"/>
        <w:ind w:left="1440"/>
        <w:jc w:val="both"/>
        <w:rPr>
          <w:rFonts w:eastAsia="Times New Roman" w:cs="Times New Roman"/>
          <w:szCs w:val="24"/>
        </w:rPr>
      </w:pPr>
      <w:r>
        <w:rPr>
          <w:rFonts w:eastAsia="Times New Roman" w:cs="Times New Roman"/>
          <w:szCs w:val="24"/>
        </w:rPr>
        <w:t xml:space="preserve">(1) transfer property that the land bank determines is not appropriate for residential development to the taxing units described by Subsection (b-2), rather than by Subsection (b); or </w:t>
      </w:r>
    </w:p>
    <w:p w:rsidR="003F76E7" w:rsidRDefault="003F76E7" w:rsidP="00173949">
      <w:pPr>
        <w:spacing w:line="240" w:lineRule="auto"/>
        <w:ind w:left="1440"/>
        <w:jc w:val="both"/>
        <w:rPr>
          <w:rFonts w:eastAsia="Times New Roman" w:cs="Times New Roman"/>
          <w:szCs w:val="24"/>
        </w:rPr>
      </w:pPr>
      <w:r>
        <w:rPr>
          <w:rFonts w:eastAsia="Times New Roman" w:cs="Times New Roman"/>
          <w:szCs w:val="24"/>
        </w:rPr>
        <w:t>(2) makes no changes to this subdivision.</w:t>
      </w:r>
    </w:p>
    <w:p w:rsidR="003F76E7" w:rsidRPr="005C2A78" w:rsidRDefault="003F76E7" w:rsidP="00173949">
      <w:pPr>
        <w:spacing w:line="240" w:lineRule="auto"/>
        <w:ind w:left="720"/>
        <w:jc w:val="both"/>
        <w:rPr>
          <w:rFonts w:eastAsia="Times New Roman" w:cs="Times New Roman"/>
          <w:szCs w:val="24"/>
        </w:rPr>
      </w:pPr>
      <w:r>
        <w:rPr>
          <w:rFonts w:eastAsia="Times New Roman" w:cs="Times New Roman"/>
          <w:szCs w:val="24"/>
        </w:rPr>
        <w:t xml:space="preserve">(b-2) Makes a conforming change to this subsection. </w:t>
      </w:r>
    </w:p>
    <w:p w:rsidR="003F76E7" w:rsidRDefault="003F76E7" w:rsidP="001739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379C.010(c), Local Government Code, as follows; </w:t>
      </w:r>
    </w:p>
    <w:p w:rsidR="003F76E7" w:rsidRDefault="003F76E7" w:rsidP="00173949">
      <w:pPr>
        <w:spacing w:after="0" w:line="240" w:lineRule="auto"/>
        <w:jc w:val="both"/>
        <w:rPr>
          <w:rFonts w:eastAsia="Times New Roman" w:cs="Times New Roman"/>
          <w:szCs w:val="24"/>
        </w:rPr>
      </w:pPr>
    </w:p>
    <w:p w:rsidR="003F76E7" w:rsidRDefault="003F76E7" w:rsidP="00173949">
      <w:pPr>
        <w:spacing w:after="0" w:line="240" w:lineRule="auto"/>
        <w:ind w:left="720"/>
        <w:jc w:val="both"/>
        <w:rPr>
          <w:rFonts w:eastAsia="Times New Roman" w:cs="Times New Roman"/>
          <w:szCs w:val="24"/>
        </w:rPr>
      </w:pPr>
      <w:r>
        <w:rPr>
          <w:rFonts w:eastAsia="Times New Roman" w:cs="Times New Roman"/>
          <w:szCs w:val="24"/>
        </w:rPr>
        <w:t>(c) Requires the deed restrictions, if property is developed for rental housing, to be for a period of not less than 15 years and to require that:</w:t>
      </w:r>
    </w:p>
    <w:p w:rsidR="003F76E7" w:rsidRDefault="003F76E7" w:rsidP="00173949">
      <w:pPr>
        <w:spacing w:after="0" w:line="240" w:lineRule="auto"/>
        <w:ind w:left="720"/>
        <w:jc w:val="both"/>
        <w:rPr>
          <w:rFonts w:eastAsia="Times New Roman" w:cs="Times New Roman"/>
          <w:szCs w:val="24"/>
        </w:rPr>
      </w:pPr>
    </w:p>
    <w:p w:rsidR="003F76E7" w:rsidRPr="0035535B" w:rsidRDefault="003F76E7" w:rsidP="00173949">
      <w:pPr>
        <w:spacing w:after="0" w:line="240" w:lineRule="auto"/>
        <w:ind w:left="1440"/>
        <w:jc w:val="both"/>
        <w:rPr>
          <w:rFonts w:eastAsia="Times New Roman" w:cs="Times New Roman"/>
          <w:szCs w:val="24"/>
        </w:rPr>
      </w:pPr>
      <w:r>
        <w:rPr>
          <w:rFonts w:eastAsia="Times New Roman" w:cs="Times New Roman"/>
          <w:szCs w:val="24"/>
        </w:rPr>
        <w:t>(1) 40 percent, rather than 100 percent,</w:t>
      </w:r>
      <w:r w:rsidRPr="0035535B">
        <w:rPr>
          <w:rFonts w:eastAsia="Times New Roman" w:cs="Times New Roman"/>
          <w:szCs w:val="24"/>
        </w:rPr>
        <w:t xml:space="preserve"> of the rental units be occupied by households with incomes not greater than 60 percent of area median family income, based on gross household income, adjusted for household size, for the metropolitan statistical area in which the municipality is located, as determined annually by the United States Department of Housing and Urban Development</w:t>
      </w:r>
      <w:r>
        <w:rPr>
          <w:rFonts w:eastAsia="Times New Roman" w:cs="Times New Roman"/>
          <w:szCs w:val="24"/>
        </w:rPr>
        <w:t xml:space="preserve"> (HUD)</w:t>
      </w:r>
      <w:r w:rsidRPr="0035535B">
        <w:rPr>
          <w:rFonts w:eastAsia="Times New Roman" w:cs="Times New Roman"/>
          <w:szCs w:val="24"/>
        </w:rPr>
        <w:t>;</w:t>
      </w:r>
    </w:p>
    <w:p w:rsidR="003F76E7" w:rsidRPr="0035535B" w:rsidRDefault="003F76E7" w:rsidP="00173949">
      <w:pPr>
        <w:spacing w:after="0" w:line="240" w:lineRule="auto"/>
        <w:ind w:left="1440"/>
        <w:jc w:val="both"/>
        <w:rPr>
          <w:rFonts w:eastAsia="Times New Roman" w:cs="Times New Roman"/>
          <w:szCs w:val="24"/>
        </w:rPr>
      </w:pPr>
    </w:p>
    <w:p w:rsidR="003F76E7" w:rsidRPr="0035535B" w:rsidRDefault="003F76E7" w:rsidP="00173949">
      <w:pPr>
        <w:spacing w:after="0" w:line="240" w:lineRule="auto"/>
        <w:ind w:left="1440"/>
        <w:jc w:val="both"/>
        <w:rPr>
          <w:rFonts w:eastAsia="Times New Roman" w:cs="Times New Roman"/>
          <w:szCs w:val="24"/>
        </w:rPr>
      </w:pPr>
      <w:r>
        <w:rPr>
          <w:rFonts w:eastAsia="Times New Roman" w:cs="Times New Roman"/>
          <w:szCs w:val="24"/>
        </w:rPr>
        <w:t>(2) 30 percent, rather than 40 percent,</w:t>
      </w:r>
      <w:r w:rsidRPr="0035535B">
        <w:rPr>
          <w:rFonts w:eastAsia="Times New Roman" w:cs="Times New Roman"/>
          <w:szCs w:val="24"/>
        </w:rPr>
        <w:t xml:space="preserve"> of the units be occupied by households with incomes not greater than 50 percent of area median family income, based on gross household income, adjusted for household size, for the metropolitan statistical area in which the municipality is located, as determined annually by </w:t>
      </w:r>
      <w:r>
        <w:rPr>
          <w:rFonts w:eastAsia="Times New Roman" w:cs="Times New Roman"/>
          <w:szCs w:val="24"/>
        </w:rPr>
        <w:t xml:space="preserve">HUD; </w:t>
      </w:r>
      <w:r w:rsidRPr="0035535B">
        <w:rPr>
          <w:rFonts w:eastAsia="Times New Roman" w:cs="Times New Roman"/>
          <w:szCs w:val="24"/>
        </w:rPr>
        <w:t>or</w:t>
      </w:r>
    </w:p>
    <w:p w:rsidR="003F76E7" w:rsidRPr="0035535B" w:rsidRDefault="003F76E7" w:rsidP="00173949">
      <w:pPr>
        <w:spacing w:after="0" w:line="240" w:lineRule="auto"/>
        <w:ind w:left="1440"/>
        <w:jc w:val="both"/>
        <w:rPr>
          <w:rFonts w:eastAsia="Times New Roman" w:cs="Times New Roman"/>
          <w:szCs w:val="24"/>
        </w:rPr>
      </w:pPr>
    </w:p>
    <w:p w:rsidR="003F76E7" w:rsidRPr="005C2A78" w:rsidRDefault="003F76E7" w:rsidP="00173949">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3F76E7" w:rsidRPr="005C2A78" w:rsidRDefault="003F76E7" w:rsidP="00173949">
      <w:pPr>
        <w:spacing w:after="0" w:line="240" w:lineRule="auto"/>
        <w:jc w:val="both"/>
        <w:rPr>
          <w:rFonts w:eastAsia="Times New Roman" w:cs="Times New Roman"/>
          <w:szCs w:val="24"/>
        </w:rPr>
      </w:pPr>
    </w:p>
    <w:p w:rsidR="003F76E7" w:rsidRDefault="003F76E7" w:rsidP="0017394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379.014(c), Local Government Code, as follows: </w:t>
      </w:r>
    </w:p>
    <w:p w:rsidR="003F76E7" w:rsidRDefault="003F76E7" w:rsidP="00173949">
      <w:pPr>
        <w:spacing w:after="0" w:line="240" w:lineRule="auto"/>
        <w:jc w:val="both"/>
        <w:rPr>
          <w:rFonts w:eastAsia="Times New Roman" w:cs="Times New Roman"/>
          <w:szCs w:val="24"/>
        </w:rPr>
      </w:pPr>
    </w:p>
    <w:p w:rsidR="003F76E7" w:rsidRDefault="003F76E7" w:rsidP="00173949">
      <w:pPr>
        <w:spacing w:line="240" w:lineRule="auto"/>
        <w:ind w:left="720"/>
        <w:jc w:val="both"/>
        <w:rPr>
          <w:rFonts w:eastAsia="Times New Roman" w:cs="Times New Roman"/>
          <w:szCs w:val="24"/>
        </w:rPr>
      </w:pPr>
      <w:r>
        <w:rPr>
          <w:rFonts w:eastAsia="Times New Roman" w:cs="Times New Roman"/>
          <w:szCs w:val="24"/>
        </w:rPr>
        <w:t>(c) Provides that a</w:t>
      </w:r>
      <w:r w:rsidRPr="00133DCE">
        <w:rPr>
          <w:rFonts w:eastAsia="Times New Roman" w:cs="Times New Roman"/>
          <w:szCs w:val="24"/>
        </w:rPr>
        <w:t xml:space="preserve"> sale under this section within the eight-year</w:t>
      </w:r>
      <w:r>
        <w:rPr>
          <w:rFonts w:eastAsia="Times New Roman" w:cs="Times New Roman"/>
          <w:szCs w:val="24"/>
        </w:rPr>
        <w:t xml:space="preserve">, rather than </w:t>
      </w:r>
      <w:r w:rsidRPr="00133DCE">
        <w:rPr>
          <w:rFonts w:eastAsia="Times New Roman" w:cs="Times New Roman"/>
          <w:szCs w:val="24"/>
        </w:rPr>
        <w:t>four-year</w:t>
      </w:r>
      <w:r>
        <w:rPr>
          <w:rFonts w:eastAsia="Times New Roman" w:cs="Times New Roman"/>
          <w:szCs w:val="24"/>
        </w:rPr>
        <w:t>,</w:t>
      </w:r>
      <w:r w:rsidRPr="00133DCE">
        <w:rPr>
          <w:rFonts w:eastAsia="Times New Roman" w:cs="Times New Roman"/>
          <w:szCs w:val="24"/>
        </w:rPr>
        <w:t xml:space="preserve"> period following the date of acquisition of the property by the land bank is for a public purpose and satisfies the requ</w:t>
      </w:r>
      <w:r>
        <w:rPr>
          <w:rFonts w:eastAsia="Times New Roman" w:cs="Times New Roman"/>
          <w:szCs w:val="24"/>
        </w:rPr>
        <w:t>irement under Section 379C.009(b)</w:t>
      </w:r>
      <w:r w:rsidRPr="00133DCE">
        <w:rPr>
          <w:rFonts w:eastAsia="Times New Roman" w:cs="Times New Roman"/>
          <w:szCs w:val="24"/>
        </w:rPr>
        <w:t xml:space="preserve"> that the property be sold within the eight-year</w:t>
      </w:r>
      <w:r>
        <w:rPr>
          <w:rFonts w:eastAsia="Times New Roman" w:cs="Times New Roman"/>
          <w:szCs w:val="24"/>
        </w:rPr>
        <w:t xml:space="preserve">, rather than </w:t>
      </w:r>
      <w:r w:rsidRPr="00133DCE">
        <w:rPr>
          <w:rFonts w:eastAsia="Times New Roman" w:cs="Times New Roman"/>
          <w:szCs w:val="24"/>
        </w:rPr>
        <w:t>four-year</w:t>
      </w:r>
      <w:r>
        <w:rPr>
          <w:rFonts w:eastAsia="Times New Roman" w:cs="Times New Roman"/>
          <w:szCs w:val="24"/>
        </w:rPr>
        <w:t>,</w:t>
      </w:r>
      <w:r w:rsidRPr="00133DCE">
        <w:rPr>
          <w:rFonts w:eastAsia="Times New Roman" w:cs="Times New Roman"/>
          <w:szCs w:val="24"/>
        </w:rPr>
        <w:t xml:space="preserve"> period to a qualified participating developer.</w:t>
      </w:r>
      <w:r>
        <w:rPr>
          <w:rFonts w:eastAsia="Times New Roman" w:cs="Times New Roman"/>
          <w:szCs w:val="24"/>
        </w:rPr>
        <w:t xml:space="preserve"> </w:t>
      </w:r>
    </w:p>
    <w:p w:rsidR="003F76E7" w:rsidRDefault="003F76E7" w:rsidP="00173949">
      <w:pPr>
        <w:spacing w:line="240" w:lineRule="auto"/>
        <w:jc w:val="both"/>
        <w:rPr>
          <w:rFonts w:eastAsia="Times New Roman" w:cs="Times New Roman"/>
          <w:szCs w:val="24"/>
        </w:rPr>
      </w:pPr>
      <w:r>
        <w:rPr>
          <w:rFonts w:eastAsia="Times New Roman" w:cs="Times New Roman"/>
          <w:szCs w:val="24"/>
        </w:rPr>
        <w:t xml:space="preserve">SECTION 4. Amends Chapter 379C, Local Government Code, by adding Section 379C.016, as follows: </w:t>
      </w:r>
    </w:p>
    <w:p w:rsidR="003F76E7" w:rsidRDefault="003F76E7" w:rsidP="00173949">
      <w:pPr>
        <w:spacing w:line="240" w:lineRule="auto"/>
        <w:ind w:left="720"/>
        <w:jc w:val="both"/>
        <w:rPr>
          <w:rFonts w:eastAsia="Times New Roman" w:cs="Times New Roman"/>
          <w:szCs w:val="24"/>
        </w:rPr>
      </w:pPr>
      <w:r>
        <w:rPr>
          <w:rFonts w:eastAsia="Times New Roman" w:cs="Times New Roman"/>
          <w:szCs w:val="24"/>
        </w:rPr>
        <w:t xml:space="preserve">Sec. 379C.016. ALLOCATION AND USE OF AD VALOREM TAXES COLLECTED ON PROPERTY DEVELOPED UNDER PROGRAM. </w:t>
      </w:r>
      <w:r w:rsidRPr="00133DCE">
        <w:rPr>
          <w:rFonts w:eastAsia="Times New Roman" w:cs="Times New Roman"/>
          <w:szCs w:val="24"/>
        </w:rPr>
        <w:t>Authorizes an interlocal agreement under Section 379C.008(a)(4)</w:t>
      </w:r>
      <w:r>
        <w:rPr>
          <w:rFonts w:eastAsia="Times New Roman" w:cs="Times New Roman"/>
          <w:szCs w:val="24"/>
        </w:rPr>
        <w:t xml:space="preserve"> (relating to authorizing a property ordered sold pursuant to foreclosure of a tax lien to be sold in a private sale to a land bank) </w:t>
      </w:r>
      <w:r w:rsidRPr="00133DCE">
        <w:rPr>
          <w:rFonts w:eastAsia="Times New Roman" w:cs="Times New Roman"/>
          <w:szCs w:val="24"/>
        </w:rPr>
        <w:t>to provide that, for the first five calendar years occurring after the date of completion of the development of a property acquired by a qualified participating developer under this chapter</w:t>
      </w:r>
      <w:r>
        <w:rPr>
          <w:rFonts w:eastAsia="Times New Roman" w:cs="Times New Roman"/>
          <w:szCs w:val="24"/>
        </w:rPr>
        <w:t xml:space="preserve"> (Urban Land Bank Demonstration Program)</w:t>
      </w:r>
      <w:r w:rsidRPr="00133DCE">
        <w:rPr>
          <w:rFonts w:eastAsia="Times New Roman" w:cs="Times New Roman"/>
          <w:szCs w:val="24"/>
        </w:rPr>
        <w:t xml:space="preserve">, 50 percent of the ad valorem taxes collected on the property </w:t>
      </w:r>
      <w:r>
        <w:rPr>
          <w:rFonts w:eastAsia="Times New Roman" w:cs="Times New Roman"/>
          <w:szCs w:val="24"/>
        </w:rPr>
        <w:t>is required to</w:t>
      </w:r>
      <w:r w:rsidRPr="00133DCE">
        <w:rPr>
          <w:rFonts w:eastAsia="Times New Roman" w:cs="Times New Roman"/>
          <w:szCs w:val="24"/>
        </w:rPr>
        <w:t xml:space="preserve"> be deposited to the credit of the land bank for the use of the program.</w:t>
      </w:r>
      <w:r>
        <w:rPr>
          <w:rFonts w:eastAsia="Times New Roman" w:cs="Times New Roman"/>
          <w:szCs w:val="24"/>
        </w:rPr>
        <w:t xml:space="preserve"> </w:t>
      </w:r>
    </w:p>
    <w:p w:rsidR="003F76E7" w:rsidRDefault="003F76E7" w:rsidP="00173949">
      <w:pPr>
        <w:spacing w:line="240" w:lineRule="auto"/>
        <w:jc w:val="both"/>
        <w:rPr>
          <w:rFonts w:eastAsia="Times New Roman" w:cs="Times New Roman"/>
          <w:szCs w:val="24"/>
        </w:rPr>
      </w:pPr>
      <w:r>
        <w:rPr>
          <w:rFonts w:eastAsia="Times New Roman" w:cs="Times New Roman"/>
          <w:szCs w:val="24"/>
        </w:rPr>
        <w:t>SECTION 5. Makes application of Section 379C.010(c), Local Government Code, as added by this Act, prospective.</w:t>
      </w:r>
    </w:p>
    <w:p w:rsidR="003F76E7" w:rsidRPr="00C8671F" w:rsidRDefault="003F76E7" w:rsidP="00173949">
      <w:pPr>
        <w:spacing w:line="240" w:lineRule="auto"/>
        <w:jc w:val="both"/>
        <w:rPr>
          <w:rFonts w:eastAsia="Times New Roman" w:cs="Times New Roman"/>
          <w:szCs w:val="24"/>
        </w:rPr>
      </w:pPr>
      <w:r>
        <w:rPr>
          <w:rFonts w:eastAsia="Times New Roman" w:cs="Times New Roman"/>
          <w:szCs w:val="24"/>
        </w:rPr>
        <w:t>SECTION 6. Effective date: September 1, 2019.</w:t>
      </w:r>
    </w:p>
    <w:sectPr w:rsidR="003F76E7"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F4" w:rsidRDefault="00C763F4" w:rsidP="000F1DF9">
      <w:pPr>
        <w:spacing w:after="0" w:line="240" w:lineRule="auto"/>
      </w:pPr>
      <w:r>
        <w:separator/>
      </w:r>
    </w:p>
  </w:endnote>
  <w:endnote w:type="continuationSeparator" w:id="0">
    <w:p w:rsidR="00C763F4" w:rsidRDefault="00C763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E7" w:rsidRDefault="003F7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63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76E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76E7">
                <w:rPr>
                  <w:sz w:val="20"/>
                  <w:szCs w:val="20"/>
                </w:rPr>
                <w:t>C.S.S.B. 1129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76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63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76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76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E7" w:rsidRDefault="003F7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F4" w:rsidRDefault="00C763F4" w:rsidP="000F1DF9">
      <w:pPr>
        <w:spacing w:after="0" w:line="240" w:lineRule="auto"/>
      </w:pPr>
      <w:r>
        <w:separator/>
      </w:r>
    </w:p>
  </w:footnote>
  <w:footnote w:type="continuationSeparator" w:id="0">
    <w:p w:rsidR="00C763F4" w:rsidRDefault="00C763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E7" w:rsidRDefault="003F7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E7" w:rsidRDefault="003F7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6E7" w:rsidRDefault="003F7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4FED"/>
    <w:multiLevelType w:val="hybridMultilevel"/>
    <w:tmpl w:val="0B8C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76E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63F4"/>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0D5A"/>
  <w15:docId w15:val="{8B8B730B-141E-4AFF-A0E8-CEDE4BBA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76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223C" w:rsidP="00AD223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08342F1250E42C6AC62E3FE1406B06C"/>
        <w:category>
          <w:name w:val="General"/>
          <w:gallery w:val="placeholder"/>
        </w:category>
        <w:types>
          <w:type w:val="bbPlcHdr"/>
        </w:types>
        <w:behaviors>
          <w:behavior w:val="content"/>
        </w:behaviors>
        <w:guid w:val="{2FF2286A-BA3F-40FD-924D-C455EF3E15D7}"/>
      </w:docPartPr>
      <w:docPartBody>
        <w:p w:rsidR="00000000" w:rsidRDefault="002F2A85"/>
      </w:docPartBody>
    </w:docPart>
    <w:docPart>
      <w:docPartPr>
        <w:name w:val="818A2A908B83427984EA0D87D6994621"/>
        <w:category>
          <w:name w:val="General"/>
          <w:gallery w:val="placeholder"/>
        </w:category>
        <w:types>
          <w:type w:val="bbPlcHdr"/>
        </w:types>
        <w:behaviors>
          <w:behavior w:val="content"/>
        </w:behaviors>
        <w:guid w:val="{DE0280CA-B1B5-44DB-9766-5EE64B635F65}"/>
      </w:docPartPr>
      <w:docPartBody>
        <w:p w:rsidR="00000000" w:rsidRDefault="002F2A85"/>
      </w:docPartBody>
    </w:docPart>
    <w:docPart>
      <w:docPartPr>
        <w:name w:val="0E4E6657DC6E4B099B08DEA9827108DF"/>
        <w:category>
          <w:name w:val="General"/>
          <w:gallery w:val="placeholder"/>
        </w:category>
        <w:types>
          <w:type w:val="bbPlcHdr"/>
        </w:types>
        <w:behaviors>
          <w:behavior w:val="content"/>
        </w:behaviors>
        <w:guid w:val="{3164C958-BF36-41BA-B69C-A1154C0C6F7D}"/>
      </w:docPartPr>
      <w:docPartBody>
        <w:p w:rsidR="00000000" w:rsidRDefault="002F2A85"/>
      </w:docPartBody>
    </w:docPart>
    <w:docPart>
      <w:docPartPr>
        <w:name w:val="4E3FDFBD5C0243749C104CB65986CD49"/>
        <w:category>
          <w:name w:val="General"/>
          <w:gallery w:val="placeholder"/>
        </w:category>
        <w:types>
          <w:type w:val="bbPlcHdr"/>
        </w:types>
        <w:behaviors>
          <w:behavior w:val="content"/>
        </w:behaviors>
        <w:guid w:val="{494C1189-91A7-4CAE-ACED-9BDBF0EF7B08}"/>
      </w:docPartPr>
      <w:docPartBody>
        <w:p w:rsidR="00000000" w:rsidRDefault="002F2A85"/>
      </w:docPartBody>
    </w:docPart>
    <w:docPart>
      <w:docPartPr>
        <w:name w:val="7AA6094724964FAF953BDA3DBF94D4B6"/>
        <w:category>
          <w:name w:val="General"/>
          <w:gallery w:val="placeholder"/>
        </w:category>
        <w:types>
          <w:type w:val="bbPlcHdr"/>
        </w:types>
        <w:behaviors>
          <w:behavior w:val="content"/>
        </w:behaviors>
        <w:guid w:val="{DBA7401B-B7AF-4DA9-BC79-443885323494}"/>
      </w:docPartPr>
      <w:docPartBody>
        <w:p w:rsidR="00000000" w:rsidRDefault="002F2A85"/>
      </w:docPartBody>
    </w:docPart>
    <w:docPart>
      <w:docPartPr>
        <w:name w:val="8291E08668524FDDA7B8EF6E78A61105"/>
        <w:category>
          <w:name w:val="General"/>
          <w:gallery w:val="placeholder"/>
        </w:category>
        <w:types>
          <w:type w:val="bbPlcHdr"/>
        </w:types>
        <w:behaviors>
          <w:behavior w:val="content"/>
        </w:behaviors>
        <w:guid w:val="{1C543117-1D84-4AE9-BFC4-F2BC9F344281}"/>
      </w:docPartPr>
      <w:docPartBody>
        <w:p w:rsidR="00000000" w:rsidRDefault="002F2A85"/>
      </w:docPartBody>
    </w:docPart>
    <w:docPart>
      <w:docPartPr>
        <w:name w:val="0ACD02B3D9494F96A9CE3D83867A528E"/>
        <w:category>
          <w:name w:val="General"/>
          <w:gallery w:val="placeholder"/>
        </w:category>
        <w:types>
          <w:type w:val="bbPlcHdr"/>
        </w:types>
        <w:behaviors>
          <w:behavior w:val="content"/>
        </w:behaviors>
        <w:guid w:val="{72146160-417C-4168-A026-AF6B2359ABED}"/>
      </w:docPartPr>
      <w:docPartBody>
        <w:p w:rsidR="00000000" w:rsidRDefault="002F2A85"/>
      </w:docPartBody>
    </w:docPart>
    <w:docPart>
      <w:docPartPr>
        <w:name w:val="2A47E0773F114BE8823A1992770652C6"/>
        <w:category>
          <w:name w:val="General"/>
          <w:gallery w:val="placeholder"/>
        </w:category>
        <w:types>
          <w:type w:val="bbPlcHdr"/>
        </w:types>
        <w:behaviors>
          <w:behavior w:val="content"/>
        </w:behaviors>
        <w:guid w:val="{0C37CFAD-4FCF-40B5-A5C7-5E55EE21ED7B}"/>
      </w:docPartPr>
      <w:docPartBody>
        <w:p w:rsidR="00000000" w:rsidRDefault="002F2A85"/>
      </w:docPartBody>
    </w:docPart>
    <w:docPart>
      <w:docPartPr>
        <w:name w:val="B33F4770866E4981A4A91411F2365BF7"/>
        <w:category>
          <w:name w:val="General"/>
          <w:gallery w:val="placeholder"/>
        </w:category>
        <w:types>
          <w:type w:val="bbPlcHdr"/>
        </w:types>
        <w:behaviors>
          <w:behavior w:val="content"/>
        </w:behaviors>
        <w:guid w:val="{93ECEBB8-BA14-4940-AA92-E0634E78DFCD}"/>
      </w:docPartPr>
      <w:docPartBody>
        <w:p w:rsidR="00000000" w:rsidRDefault="00AD223C" w:rsidP="00AD223C">
          <w:pPr>
            <w:pStyle w:val="B33F4770866E4981A4A91411F2365BF7"/>
          </w:pPr>
          <w:r w:rsidRPr="00A30DD1">
            <w:rPr>
              <w:rStyle w:val="PlaceholderText"/>
            </w:rPr>
            <w:t>Click here to enter a date.</w:t>
          </w:r>
        </w:p>
      </w:docPartBody>
    </w:docPart>
    <w:docPart>
      <w:docPartPr>
        <w:name w:val="663411ED748C44B58C8C084FED7C3D13"/>
        <w:category>
          <w:name w:val="General"/>
          <w:gallery w:val="placeholder"/>
        </w:category>
        <w:types>
          <w:type w:val="bbPlcHdr"/>
        </w:types>
        <w:behaviors>
          <w:behavior w:val="content"/>
        </w:behaviors>
        <w:guid w:val="{0A4B975B-5047-4034-84EA-536E8584132D}"/>
      </w:docPartPr>
      <w:docPartBody>
        <w:p w:rsidR="00000000" w:rsidRDefault="002F2A85"/>
      </w:docPartBody>
    </w:docPart>
    <w:docPart>
      <w:docPartPr>
        <w:name w:val="BE5B0859101F498FAC475987A1281D8A"/>
        <w:category>
          <w:name w:val="General"/>
          <w:gallery w:val="placeholder"/>
        </w:category>
        <w:types>
          <w:type w:val="bbPlcHdr"/>
        </w:types>
        <w:behaviors>
          <w:behavior w:val="content"/>
        </w:behaviors>
        <w:guid w:val="{18F3DBE0-4BDD-45C6-B582-4072700332C8}"/>
      </w:docPartPr>
      <w:docPartBody>
        <w:p w:rsidR="00000000" w:rsidRDefault="002F2A85"/>
      </w:docPartBody>
    </w:docPart>
    <w:docPart>
      <w:docPartPr>
        <w:name w:val="89BD35C3C4CF428EB2A26920876A686D"/>
        <w:category>
          <w:name w:val="General"/>
          <w:gallery w:val="placeholder"/>
        </w:category>
        <w:types>
          <w:type w:val="bbPlcHdr"/>
        </w:types>
        <w:behaviors>
          <w:behavior w:val="content"/>
        </w:behaviors>
        <w:guid w:val="{269E9501-7707-4EA4-BE83-A10785D5991A}"/>
      </w:docPartPr>
      <w:docPartBody>
        <w:p w:rsidR="00000000" w:rsidRDefault="00AD223C" w:rsidP="00AD223C">
          <w:pPr>
            <w:pStyle w:val="89BD35C3C4CF428EB2A26920876A686D"/>
          </w:pPr>
          <w:r>
            <w:rPr>
              <w:rFonts w:eastAsia="Times New Roman" w:cs="Times New Roman"/>
              <w:bCs/>
              <w:szCs w:val="24"/>
            </w:rPr>
            <w:t xml:space="preserve"> </w:t>
          </w:r>
        </w:p>
      </w:docPartBody>
    </w:docPart>
    <w:docPart>
      <w:docPartPr>
        <w:name w:val="BCB60797BEDE4FE2A495F71606459748"/>
        <w:category>
          <w:name w:val="General"/>
          <w:gallery w:val="placeholder"/>
        </w:category>
        <w:types>
          <w:type w:val="bbPlcHdr"/>
        </w:types>
        <w:behaviors>
          <w:behavior w:val="content"/>
        </w:behaviors>
        <w:guid w:val="{5A9F29D7-FECC-4933-BDAE-11177313BB4A}"/>
      </w:docPartPr>
      <w:docPartBody>
        <w:p w:rsidR="00000000" w:rsidRDefault="002F2A85"/>
      </w:docPartBody>
    </w:docPart>
    <w:docPart>
      <w:docPartPr>
        <w:name w:val="1E2ECFD9B48247BC8ADC6FBEF20D743D"/>
        <w:category>
          <w:name w:val="General"/>
          <w:gallery w:val="placeholder"/>
        </w:category>
        <w:types>
          <w:type w:val="bbPlcHdr"/>
        </w:types>
        <w:behaviors>
          <w:behavior w:val="content"/>
        </w:behaviors>
        <w:guid w:val="{A6BB0872-B9C6-4B6C-8C5C-FDBB20130CCC}"/>
      </w:docPartPr>
      <w:docPartBody>
        <w:p w:rsidR="00000000" w:rsidRDefault="002F2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2A85"/>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223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23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223C"/>
    <w:rPr>
      <w:rFonts w:ascii="Times New Roman" w:hAnsi="Times New Roman"/>
      <w:sz w:val="24"/>
    </w:rPr>
  </w:style>
  <w:style w:type="paragraph" w:customStyle="1" w:styleId="487D89B4F8B34DB4967D41FE18F7F88D9">
    <w:name w:val="487D89B4F8B34DB4967D41FE18F7F88D9"/>
    <w:rsid w:val="00AD223C"/>
    <w:rPr>
      <w:rFonts w:ascii="Times New Roman" w:hAnsi="Times New Roman"/>
      <w:sz w:val="24"/>
    </w:rPr>
  </w:style>
  <w:style w:type="paragraph" w:customStyle="1" w:styleId="AE2570ED5D764CD7AF9686706F550F4622">
    <w:name w:val="AE2570ED5D764CD7AF9686706F550F4622"/>
    <w:rsid w:val="00AD223C"/>
    <w:pPr>
      <w:tabs>
        <w:tab w:val="center" w:pos="4680"/>
        <w:tab w:val="right" w:pos="9360"/>
      </w:tabs>
      <w:spacing w:after="0" w:line="240" w:lineRule="auto"/>
    </w:pPr>
    <w:rPr>
      <w:rFonts w:ascii="Times New Roman" w:hAnsi="Times New Roman"/>
      <w:sz w:val="24"/>
    </w:rPr>
  </w:style>
  <w:style w:type="paragraph" w:customStyle="1" w:styleId="B33F4770866E4981A4A91411F2365BF7">
    <w:name w:val="B33F4770866E4981A4A91411F2365BF7"/>
    <w:rsid w:val="00AD223C"/>
    <w:pPr>
      <w:spacing w:after="160" w:line="259" w:lineRule="auto"/>
    </w:pPr>
  </w:style>
  <w:style w:type="paragraph" w:customStyle="1" w:styleId="89BD35C3C4CF428EB2A26920876A686D">
    <w:name w:val="89BD35C3C4CF428EB2A26920876A686D"/>
    <w:rsid w:val="00AD223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56F61C-BC80-4E8C-BFA2-959AF621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824</Words>
  <Characters>4697</Characters>
  <Application>Microsoft Office Word</Application>
  <DocSecurity>0</DocSecurity>
  <Lines>39</Lines>
  <Paragraphs>11</Paragraphs>
  <ScaleCrop>false</ScaleCrop>
  <Company>Texas Legislative Council</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2019-04-10T14:39:00Z</dcterms:modified>
</cp:coreProperties>
</file>

<file path=docProps/custom.xml><?xml version="1.0" encoding="utf-8"?>
<op:Properties xmlns:vt="http://schemas.openxmlformats.org/officeDocument/2006/docPropsVTypes" xmlns:op="http://schemas.openxmlformats.org/officeDocument/2006/custom-properties"/>
</file>