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921EAC" w:rsidTr="00345119">
        <w:tc>
          <w:tcPr>
            <w:tcW w:w="9576" w:type="dxa"/>
            <w:noWrap/>
          </w:tcPr>
          <w:p w:rsidR="008423E4" w:rsidRPr="0022177D" w:rsidRDefault="002C517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C5175" w:rsidP="008423E4">
      <w:pPr>
        <w:jc w:val="center"/>
      </w:pPr>
    </w:p>
    <w:p w:rsidR="008423E4" w:rsidRPr="00B31F0E" w:rsidRDefault="002C5175" w:rsidP="008423E4"/>
    <w:p w:rsidR="008423E4" w:rsidRPr="00742794" w:rsidRDefault="002C517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21EAC" w:rsidTr="00345119">
        <w:tc>
          <w:tcPr>
            <w:tcW w:w="9576" w:type="dxa"/>
          </w:tcPr>
          <w:p w:rsidR="008423E4" w:rsidRPr="00861995" w:rsidRDefault="002C5175" w:rsidP="00345119">
            <w:pPr>
              <w:jc w:val="right"/>
            </w:pPr>
            <w:r>
              <w:t>S.B. 1130</w:t>
            </w:r>
          </w:p>
        </w:tc>
      </w:tr>
      <w:tr w:rsidR="00921EAC" w:rsidTr="00345119">
        <w:tc>
          <w:tcPr>
            <w:tcW w:w="9576" w:type="dxa"/>
          </w:tcPr>
          <w:p w:rsidR="008423E4" w:rsidRPr="00861995" w:rsidRDefault="002C5175" w:rsidP="00F56DCE">
            <w:pPr>
              <w:jc w:val="right"/>
            </w:pPr>
            <w:r>
              <w:t>By:</w:t>
            </w:r>
            <w:r>
              <w:t xml:space="preserve"> </w:t>
            </w:r>
            <w:r w:rsidRPr="00726BF1">
              <w:t>West</w:t>
            </w:r>
            <w:r>
              <w:t xml:space="preserve"> </w:t>
            </w:r>
          </w:p>
        </w:tc>
      </w:tr>
      <w:tr w:rsidR="00921EAC" w:rsidTr="00345119">
        <w:tc>
          <w:tcPr>
            <w:tcW w:w="9576" w:type="dxa"/>
          </w:tcPr>
          <w:p w:rsidR="008423E4" w:rsidRPr="00861995" w:rsidRDefault="002C5175" w:rsidP="00345119">
            <w:pPr>
              <w:jc w:val="right"/>
            </w:pPr>
            <w:r>
              <w:t>Human Services</w:t>
            </w:r>
          </w:p>
        </w:tc>
      </w:tr>
      <w:tr w:rsidR="00921EAC" w:rsidTr="00345119">
        <w:tc>
          <w:tcPr>
            <w:tcW w:w="9576" w:type="dxa"/>
          </w:tcPr>
          <w:p w:rsidR="008423E4" w:rsidRDefault="002C5175" w:rsidP="00FF396A">
            <w:pPr>
              <w:jc w:val="right"/>
            </w:pPr>
            <w:r>
              <w:t>Committee Report (Unamended)</w:t>
            </w:r>
          </w:p>
        </w:tc>
      </w:tr>
    </w:tbl>
    <w:p w:rsidR="008423E4" w:rsidRDefault="002C5175" w:rsidP="008423E4">
      <w:pPr>
        <w:tabs>
          <w:tab w:val="right" w:pos="9360"/>
        </w:tabs>
      </w:pPr>
    </w:p>
    <w:p w:rsidR="008423E4" w:rsidRDefault="002C5175" w:rsidP="008423E4"/>
    <w:p w:rsidR="008423E4" w:rsidRDefault="002C517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921EAC" w:rsidTr="00345119">
        <w:tc>
          <w:tcPr>
            <w:tcW w:w="9576" w:type="dxa"/>
          </w:tcPr>
          <w:p w:rsidR="008423E4" w:rsidRPr="00A8133F" w:rsidRDefault="002C5175" w:rsidP="0012623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C5175" w:rsidP="00126230"/>
          <w:p w:rsidR="008423E4" w:rsidRDefault="002C5175" w:rsidP="00126230">
            <w:pPr>
              <w:pStyle w:val="Header"/>
              <w:jc w:val="both"/>
            </w:pPr>
            <w:r>
              <w:t xml:space="preserve">Research </w:t>
            </w:r>
            <w:r>
              <w:t>indicates</w:t>
            </w:r>
            <w:r>
              <w:t xml:space="preserve"> </w:t>
            </w:r>
            <w:r>
              <w:t>family situation</w:t>
            </w:r>
            <w:r>
              <w:t>s that include an involved father are</w:t>
            </w:r>
            <w:r>
              <w:t xml:space="preserve"> </w:t>
            </w:r>
            <w:r>
              <w:t xml:space="preserve">linked to better outcomes </w:t>
            </w:r>
            <w:r>
              <w:t>regarding</w:t>
            </w:r>
            <w:r>
              <w:t xml:space="preserve"> </w:t>
            </w:r>
            <w:r>
              <w:t>most</w:t>
            </w:r>
            <w:r>
              <w:t xml:space="preserve"> measure</w:t>
            </w:r>
            <w:r>
              <w:t>s</w:t>
            </w:r>
            <w:r>
              <w:t xml:space="preserve"> of </w:t>
            </w:r>
            <w:r>
              <w:t xml:space="preserve">a </w:t>
            </w:r>
            <w:r>
              <w:t>child</w:t>
            </w:r>
            <w:r>
              <w:t>'s</w:t>
            </w:r>
            <w:r>
              <w:t xml:space="preserve"> well</w:t>
            </w:r>
            <w:r>
              <w:t>-</w:t>
            </w:r>
            <w:r>
              <w:t>being</w:t>
            </w:r>
            <w:r>
              <w:t xml:space="preserve">. </w:t>
            </w:r>
            <w:r>
              <w:t>Additionally, t</w:t>
            </w:r>
            <w:r>
              <w:t>he</w:t>
            </w:r>
            <w:r>
              <w:t xml:space="preserve"> </w:t>
            </w:r>
            <w:r>
              <w:t xml:space="preserve">involvement </w:t>
            </w:r>
            <w:r>
              <w:t>of a father with his child</w:t>
            </w:r>
            <w:r>
              <w:t xml:space="preserve"> </w:t>
            </w:r>
            <w:r>
              <w:t xml:space="preserve">can </w:t>
            </w:r>
            <w:r>
              <w:t xml:space="preserve">result in healthier connections between the father and child, which serve </w:t>
            </w:r>
            <w:r>
              <w:t xml:space="preserve">as </w:t>
            </w:r>
            <w:r>
              <w:t xml:space="preserve">a </w:t>
            </w:r>
            <w:r>
              <w:t>protective factor against maltreatment</w:t>
            </w:r>
            <w:r>
              <w:t>.</w:t>
            </w:r>
            <w:r>
              <w:t xml:space="preserve"> </w:t>
            </w:r>
            <w:r>
              <w:t>There have been calls for the state to do more to ensure that fathers</w:t>
            </w:r>
            <w:r>
              <w:t xml:space="preserve"> are engaged with their children and</w:t>
            </w:r>
            <w:r>
              <w:t xml:space="preserve"> </w:t>
            </w:r>
            <w:r>
              <w:t>t</w:t>
            </w:r>
            <w:r>
              <w:t xml:space="preserve">o promote </w:t>
            </w:r>
            <w:r>
              <w:t>better</w:t>
            </w:r>
            <w:r>
              <w:t xml:space="preserve"> outcomes</w:t>
            </w:r>
            <w:r>
              <w:t xml:space="preserve"> for families with </w:t>
            </w:r>
            <w:r>
              <w:t xml:space="preserve">such </w:t>
            </w:r>
            <w:r>
              <w:t>fathers.</w:t>
            </w:r>
            <w:r>
              <w:t xml:space="preserve"> </w:t>
            </w:r>
            <w:r>
              <w:t xml:space="preserve">S.B. 1130 </w:t>
            </w:r>
            <w:r>
              <w:t xml:space="preserve">seeks to answer these calls by </w:t>
            </w:r>
            <w:r>
              <w:t>establish</w:t>
            </w:r>
            <w:r>
              <w:t>ing</w:t>
            </w:r>
            <w:r>
              <w:t xml:space="preserve"> </w:t>
            </w:r>
            <w:r>
              <w:t>a</w:t>
            </w:r>
            <w:r>
              <w:t xml:space="preserve"> task force on father engagement.</w:t>
            </w:r>
          </w:p>
          <w:p w:rsidR="008423E4" w:rsidRPr="00E26B13" w:rsidRDefault="002C5175" w:rsidP="00126230">
            <w:pPr>
              <w:rPr>
                <w:b/>
              </w:rPr>
            </w:pPr>
          </w:p>
        </w:tc>
      </w:tr>
      <w:tr w:rsidR="00921EAC" w:rsidTr="00345119">
        <w:tc>
          <w:tcPr>
            <w:tcW w:w="9576" w:type="dxa"/>
          </w:tcPr>
          <w:p w:rsidR="0017725B" w:rsidRDefault="002C5175" w:rsidP="0012623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C5175" w:rsidP="00126230">
            <w:pPr>
              <w:rPr>
                <w:b/>
                <w:u w:val="single"/>
              </w:rPr>
            </w:pPr>
          </w:p>
          <w:p w:rsidR="0060604D" w:rsidRPr="0060604D" w:rsidRDefault="002C5175" w:rsidP="00126230">
            <w:pPr>
              <w:jc w:val="both"/>
            </w:pPr>
            <w:r>
              <w:t>It is the committee's opinion that this bill</w:t>
            </w:r>
            <w:r>
              <w:t xml:space="preserve">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2C5175" w:rsidP="00126230">
            <w:pPr>
              <w:rPr>
                <w:b/>
                <w:u w:val="single"/>
              </w:rPr>
            </w:pPr>
          </w:p>
        </w:tc>
      </w:tr>
      <w:tr w:rsidR="00921EAC" w:rsidTr="00345119">
        <w:tc>
          <w:tcPr>
            <w:tcW w:w="9576" w:type="dxa"/>
          </w:tcPr>
          <w:p w:rsidR="008423E4" w:rsidRPr="00A8133F" w:rsidRDefault="002C5175" w:rsidP="0012623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C5175" w:rsidP="00126230"/>
          <w:p w:rsidR="0060604D" w:rsidRDefault="002C5175" w:rsidP="0012623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</w:t>
            </w:r>
            <w:r>
              <w:t>is the committee's opinion that this bill does not expressly grant any additional rulemaking authority to a state officer, department, agency, or institution.</w:t>
            </w:r>
          </w:p>
          <w:p w:rsidR="008423E4" w:rsidRPr="00E21FDC" w:rsidRDefault="002C5175" w:rsidP="00126230">
            <w:pPr>
              <w:rPr>
                <w:b/>
              </w:rPr>
            </w:pPr>
          </w:p>
        </w:tc>
      </w:tr>
      <w:tr w:rsidR="00921EAC" w:rsidTr="00345119">
        <w:tc>
          <w:tcPr>
            <w:tcW w:w="9576" w:type="dxa"/>
          </w:tcPr>
          <w:p w:rsidR="008423E4" w:rsidRPr="00A8133F" w:rsidRDefault="002C5175" w:rsidP="0012623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C5175" w:rsidP="00126230"/>
          <w:p w:rsidR="001B1797" w:rsidRDefault="002C5175" w:rsidP="0012623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1130 amends the Family Code to establish the task force on father engagement to</w:t>
            </w:r>
            <w:r>
              <w:t>:</w:t>
            </w:r>
          </w:p>
          <w:p w:rsidR="001B1797" w:rsidRDefault="002C5175" w:rsidP="00126230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evaluate </w:t>
            </w:r>
            <w:r w:rsidRPr="000A0894">
              <w:t>services and supports available to fathers in</w:t>
            </w:r>
            <w:r>
              <w:t xml:space="preserve"> Texas;</w:t>
            </w:r>
          </w:p>
          <w:p w:rsidR="001B1797" w:rsidRDefault="002C5175" w:rsidP="00126230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study </w:t>
            </w:r>
            <w:r w:rsidRPr="000A0894">
              <w:t>the impact of father engagement on children, families, and communities in</w:t>
            </w:r>
            <w:r>
              <w:t xml:space="preserve"> Texas; and </w:t>
            </w:r>
          </w:p>
          <w:p w:rsidR="001B1797" w:rsidRDefault="002C5175" w:rsidP="00126230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develop </w:t>
            </w:r>
            <w:r w:rsidRPr="000A0894">
              <w:t>a statewide plan for expanding services and supports available to fathers and other strategi</w:t>
            </w:r>
            <w:r w:rsidRPr="000A0894">
              <w:t>es to strengthen father engagement in</w:t>
            </w:r>
            <w:r>
              <w:t xml:space="preserve"> Texas. </w:t>
            </w:r>
          </w:p>
          <w:p w:rsidR="00D04082" w:rsidRDefault="002C5175" w:rsidP="0012623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bill </w:t>
            </w:r>
            <w:r>
              <w:t xml:space="preserve">requires </w:t>
            </w:r>
            <w:r>
              <w:t xml:space="preserve">the </w:t>
            </w:r>
            <w:r w:rsidRPr="002306AD">
              <w:t xml:space="preserve">governor </w:t>
            </w:r>
            <w:r>
              <w:t>to</w:t>
            </w:r>
            <w:r w:rsidRPr="002306AD">
              <w:t xml:space="preserve"> determ</w:t>
            </w:r>
            <w:r>
              <w:t>ine the number of members</w:t>
            </w:r>
            <w:r>
              <w:t xml:space="preserve"> of the task force</w:t>
            </w:r>
            <w:r>
              <w:t xml:space="preserve">, </w:t>
            </w:r>
            <w:r>
              <w:t>sets out the task force</w:t>
            </w:r>
            <w:r>
              <w:t>'s composition</w:t>
            </w:r>
            <w:r>
              <w:t>,</w:t>
            </w:r>
            <w:r>
              <w:t xml:space="preserve"> </w:t>
            </w:r>
            <w:r w:rsidRPr="00D50DD1">
              <w:t>requ</w:t>
            </w:r>
            <w:r>
              <w:t xml:space="preserve">ires the governor to designate </w:t>
            </w:r>
            <w:r>
              <w:t>a member of the</w:t>
            </w:r>
            <w:r>
              <w:t xml:space="preserve"> task force</w:t>
            </w:r>
            <w:r>
              <w:t xml:space="preserve"> as </w:t>
            </w:r>
            <w:r>
              <w:t>the task force's</w:t>
            </w:r>
            <w:r w:rsidRPr="00D50DD1">
              <w:t xml:space="preserve"> presiding officer</w:t>
            </w:r>
            <w:r>
              <w:t>, and requires</w:t>
            </w:r>
            <w:r>
              <w:t xml:space="preserve"> the governor, the speaker of the house of representatives, and the lieutenant governor</w:t>
            </w:r>
            <w:r>
              <w:t xml:space="preserve"> to appoint specified members of the task force in accordance with the bill's provisions</w:t>
            </w:r>
            <w:r>
              <w:t xml:space="preserve">. The bill provides for the filling of a vacancy </w:t>
            </w:r>
            <w:r>
              <w:t>on the task force</w:t>
            </w:r>
            <w:r>
              <w:t xml:space="preserve">, </w:t>
            </w:r>
            <w:r w:rsidRPr="00271F0C">
              <w:t>prohibits task force members from being compensated or reimbursed,</w:t>
            </w:r>
            <w:r>
              <w:t xml:space="preserve"> and requires the task force to meet </w:t>
            </w:r>
            <w:r w:rsidRPr="00D04082">
              <w:t>at the call of the presiding officer</w:t>
            </w:r>
            <w:r>
              <w:t>.</w:t>
            </w:r>
          </w:p>
          <w:p w:rsidR="00D04082" w:rsidRDefault="002C5175" w:rsidP="0012623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2C5175" w:rsidP="0012623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1130</w:t>
            </w:r>
            <w:r>
              <w:t xml:space="preserve"> requires the task force to</w:t>
            </w:r>
            <w:r>
              <w:t xml:space="preserve"> do the following</w:t>
            </w:r>
            <w:r>
              <w:t>:</w:t>
            </w:r>
          </w:p>
          <w:p w:rsidR="000A0894" w:rsidRDefault="002C5175" w:rsidP="00126230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receive reports and testimony from </w:t>
            </w:r>
            <w:r>
              <w:t>individuals, state and local governmental agencies, community-based organizations, faith-based organizations, policy experts, public and private institutions of higher education, and other public and private entities regarding father engagement and evidenc</w:t>
            </w:r>
            <w:r>
              <w:t>e-based father education programs;</w:t>
            </w:r>
          </w:p>
          <w:p w:rsidR="000A0894" w:rsidRDefault="002C5175" w:rsidP="00126230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study the social and economic impact of father engagement on children, including in regard to health care, education, child support, child welfare, and the juvenile justice system; </w:t>
            </w:r>
          </w:p>
          <w:p w:rsidR="00271F0C" w:rsidRDefault="002C5175" w:rsidP="0012623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identify and develop strategies to addr</w:t>
            </w:r>
            <w:r>
              <w:t xml:space="preserve">ess barriers to father engagement and to otherwise strengthen father engagement in </w:t>
            </w:r>
            <w:r>
              <w:t>Texas</w:t>
            </w:r>
            <w:r>
              <w:t>; and</w:t>
            </w:r>
          </w:p>
          <w:p w:rsidR="00F8709C" w:rsidRDefault="002C5175" w:rsidP="0012623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prepare a report includ</w:t>
            </w:r>
            <w:r>
              <w:t>ing</w:t>
            </w:r>
            <w:r>
              <w:t xml:space="preserve"> a description of </w:t>
            </w:r>
            <w:r>
              <w:t>its</w:t>
            </w:r>
            <w:r>
              <w:t xml:space="preserve"> activities, findings, and recommendations for proposed legislation and a statewide plan to expand services and sup</w:t>
            </w:r>
            <w:r>
              <w:t xml:space="preserve">ports to fathers in Texas </w:t>
            </w:r>
            <w:r>
              <w:t>and</w:t>
            </w:r>
            <w:r>
              <w:t xml:space="preserve"> provide a copy of the report </w:t>
            </w:r>
            <w:r w:rsidRPr="00271F0C">
              <w:t>not later than September 1, 2020,</w:t>
            </w:r>
            <w:r>
              <w:t xml:space="preserve"> </w:t>
            </w:r>
            <w:r>
              <w:t xml:space="preserve">to </w:t>
            </w:r>
            <w:r w:rsidRPr="00F8709C">
              <w:t>specified state and legislative officers.</w:t>
            </w:r>
            <w:r>
              <w:t xml:space="preserve"> </w:t>
            </w:r>
          </w:p>
          <w:p w:rsidR="00AB40C7" w:rsidRDefault="002C5175" w:rsidP="0012623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bill requires </w:t>
            </w:r>
            <w:r>
              <w:t xml:space="preserve">the Department of Family and Protective Services </w:t>
            </w:r>
            <w:r>
              <w:t xml:space="preserve">to </w:t>
            </w:r>
            <w:r w:rsidRPr="0060604D">
              <w:t xml:space="preserve">provide </w:t>
            </w:r>
            <w:r w:rsidRPr="00F8709C">
              <w:t xml:space="preserve">reasonably necessary </w:t>
            </w:r>
            <w:r w:rsidRPr="0060604D">
              <w:t>administrative</w:t>
            </w:r>
            <w:r>
              <w:t xml:space="preserve"> </w:t>
            </w:r>
            <w:r w:rsidRPr="00F8709C">
              <w:t>and</w:t>
            </w:r>
            <w:r w:rsidRPr="00F8709C">
              <w:t xml:space="preserve"> technical </w:t>
            </w:r>
            <w:r w:rsidRPr="0060604D">
              <w:t>support to the task force.</w:t>
            </w:r>
            <w:r>
              <w:t xml:space="preserve"> The bill exempts the task force from Government Code provisions relating to state agency advisory committees. The task force </w:t>
            </w:r>
            <w:r w:rsidRPr="0060604D">
              <w:t xml:space="preserve">is abolished and </w:t>
            </w:r>
            <w:r>
              <w:t>the bill</w:t>
            </w:r>
            <w:r>
              <w:t>'s provisions</w:t>
            </w:r>
            <w:r>
              <w:t xml:space="preserve"> </w:t>
            </w:r>
            <w:r w:rsidRPr="0060604D">
              <w:t>expire September 1, 2021.</w:t>
            </w:r>
            <w:r>
              <w:t xml:space="preserve">   </w:t>
            </w:r>
          </w:p>
          <w:p w:rsidR="008423E4" w:rsidRPr="00835628" w:rsidRDefault="002C5175" w:rsidP="00126230">
            <w:pPr>
              <w:rPr>
                <w:b/>
              </w:rPr>
            </w:pPr>
          </w:p>
        </w:tc>
      </w:tr>
      <w:tr w:rsidR="00921EAC" w:rsidTr="00345119">
        <w:tc>
          <w:tcPr>
            <w:tcW w:w="9576" w:type="dxa"/>
          </w:tcPr>
          <w:p w:rsidR="008423E4" w:rsidRPr="00A8133F" w:rsidRDefault="002C5175" w:rsidP="0012623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C5175" w:rsidP="00126230"/>
          <w:p w:rsidR="008423E4" w:rsidRPr="003624F2" w:rsidRDefault="002C5175" w:rsidP="0012623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60604D">
              <w:t>September 1, 2019.</w:t>
            </w:r>
          </w:p>
          <w:p w:rsidR="008423E4" w:rsidRPr="00233FDB" w:rsidRDefault="002C5175" w:rsidP="00126230">
            <w:pPr>
              <w:rPr>
                <w:b/>
              </w:rPr>
            </w:pPr>
          </w:p>
        </w:tc>
      </w:tr>
    </w:tbl>
    <w:p w:rsidR="008423E4" w:rsidRPr="00BE0E75" w:rsidRDefault="002C517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C5175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C5175">
      <w:r>
        <w:separator/>
      </w:r>
    </w:p>
  </w:endnote>
  <w:endnote w:type="continuationSeparator" w:id="0">
    <w:p w:rsidR="00000000" w:rsidRDefault="002C5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C51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21EAC" w:rsidTr="009C1E9A">
      <w:trPr>
        <w:cantSplit/>
      </w:trPr>
      <w:tc>
        <w:tcPr>
          <w:tcW w:w="0" w:type="pct"/>
        </w:tcPr>
        <w:p w:rsidR="00137D90" w:rsidRDefault="002C517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C517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C517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C517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C517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21EAC" w:rsidTr="009C1E9A">
      <w:trPr>
        <w:cantSplit/>
      </w:trPr>
      <w:tc>
        <w:tcPr>
          <w:tcW w:w="0" w:type="pct"/>
        </w:tcPr>
        <w:p w:rsidR="00EC379B" w:rsidRDefault="002C517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C517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32783</w:t>
          </w:r>
        </w:p>
      </w:tc>
      <w:tc>
        <w:tcPr>
          <w:tcW w:w="2453" w:type="pct"/>
        </w:tcPr>
        <w:p w:rsidR="00EC379B" w:rsidRDefault="002C517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19.128.894</w:t>
          </w:r>
          <w:r>
            <w:fldChar w:fldCharType="end"/>
          </w:r>
        </w:p>
      </w:tc>
    </w:tr>
    <w:tr w:rsidR="00921EAC" w:rsidTr="009C1E9A">
      <w:trPr>
        <w:cantSplit/>
      </w:trPr>
      <w:tc>
        <w:tcPr>
          <w:tcW w:w="0" w:type="pct"/>
        </w:tcPr>
        <w:p w:rsidR="00EC379B" w:rsidRDefault="002C517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C517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C5175" w:rsidP="006D504F">
          <w:pPr>
            <w:pStyle w:val="Footer"/>
            <w:rPr>
              <w:rStyle w:val="PageNumber"/>
            </w:rPr>
          </w:pPr>
        </w:p>
        <w:p w:rsidR="00EC379B" w:rsidRDefault="002C517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21EA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C517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2C517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C517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C51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C5175">
      <w:r>
        <w:separator/>
      </w:r>
    </w:p>
  </w:footnote>
  <w:footnote w:type="continuationSeparator" w:id="0">
    <w:p w:rsidR="00000000" w:rsidRDefault="002C5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C51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C51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C51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93A70"/>
    <w:multiLevelType w:val="hybridMultilevel"/>
    <w:tmpl w:val="1C08C0D8"/>
    <w:lvl w:ilvl="0" w:tplc="DD92C7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3467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DE17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E819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4215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CA9A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D241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BC1E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C2C0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75D74"/>
    <w:multiLevelType w:val="hybridMultilevel"/>
    <w:tmpl w:val="C8F6428E"/>
    <w:lvl w:ilvl="0" w:tplc="05366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5616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88B4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4CE3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1074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16DB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DE67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E647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C2B9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F5D0B"/>
    <w:multiLevelType w:val="hybridMultilevel"/>
    <w:tmpl w:val="E3C6C0CA"/>
    <w:lvl w:ilvl="0" w:tplc="E924B548">
      <w:start w:val="1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30209BEA" w:tentative="1">
      <w:start w:val="1"/>
      <w:numFmt w:val="lowerLetter"/>
      <w:lvlText w:val="%2."/>
      <w:lvlJc w:val="left"/>
      <w:pPr>
        <w:ind w:left="1440" w:hanging="360"/>
      </w:pPr>
    </w:lvl>
    <w:lvl w:ilvl="2" w:tplc="0E1CB12E" w:tentative="1">
      <w:start w:val="1"/>
      <w:numFmt w:val="lowerRoman"/>
      <w:lvlText w:val="%3."/>
      <w:lvlJc w:val="right"/>
      <w:pPr>
        <w:ind w:left="2160" w:hanging="180"/>
      </w:pPr>
    </w:lvl>
    <w:lvl w:ilvl="3" w:tplc="D57A4D8A" w:tentative="1">
      <w:start w:val="1"/>
      <w:numFmt w:val="decimal"/>
      <w:lvlText w:val="%4."/>
      <w:lvlJc w:val="left"/>
      <w:pPr>
        <w:ind w:left="2880" w:hanging="360"/>
      </w:pPr>
    </w:lvl>
    <w:lvl w:ilvl="4" w:tplc="F744A7EA" w:tentative="1">
      <w:start w:val="1"/>
      <w:numFmt w:val="lowerLetter"/>
      <w:lvlText w:val="%5."/>
      <w:lvlJc w:val="left"/>
      <w:pPr>
        <w:ind w:left="3600" w:hanging="360"/>
      </w:pPr>
    </w:lvl>
    <w:lvl w:ilvl="5" w:tplc="581A740A" w:tentative="1">
      <w:start w:val="1"/>
      <w:numFmt w:val="lowerRoman"/>
      <w:lvlText w:val="%6."/>
      <w:lvlJc w:val="right"/>
      <w:pPr>
        <w:ind w:left="4320" w:hanging="180"/>
      </w:pPr>
    </w:lvl>
    <w:lvl w:ilvl="6" w:tplc="2C123A5E" w:tentative="1">
      <w:start w:val="1"/>
      <w:numFmt w:val="decimal"/>
      <w:lvlText w:val="%7."/>
      <w:lvlJc w:val="left"/>
      <w:pPr>
        <w:ind w:left="5040" w:hanging="360"/>
      </w:pPr>
    </w:lvl>
    <w:lvl w:ilvl="7" w:tplc="91A028D4" w:tentative="1">
      <w:start w:val="1"/>
      <w:numFmt w:val="lowerLetter"/>
      <w:lvlText w:val="%8."/>
      <w:lvlJc w:val="left"/>
      <w:pPr>
        <w:ind w:left="5760" w:hanging="360"/>
      </w:pPr>
    </w:lvl>
    <w:lvl w:ilvl="8" w:tplc="BDF292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AC"/>
    <w:rsid w:val="002C5175"/>
    <w:rsid w:val="0092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C0F74C4-3BE5-4F9F-8DE9-26F05C07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060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060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0604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060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060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3020</Characters>
  <Application>Microsoft Office Word</Application>
  <DocSecurity>4</DocSecurity>
  <Lines>72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SB01130 (Committee Report (Unamended))</vt:lpstr>
    </vt:vector>
  </TitlesOfParts>
  <Company>State of Texas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32783</dc:subject>
  <dc:creator>State of Texas</dc:creator>
  <dc:description>SB 1130 by West-(H)Human Services</dc:description>
  <cp:lastModifiedBy>Scotty Wimberley</cp:lastModifiedBy>
  <cp:revision>2</cp:revision>
  <cp:lastPrinted>2003-11-26T17:21:00Z</cp:lastPrinted>
  <dcterms:created xsi:type="dcterms:W3CDTF">2019-05-16T19:41:00Z</dcterms:created>
  <dcterms:modified xsi:type="dcterms:W3CDTF">2019-05-16T19:41:00Z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19.128.894</vt:lpwstr>
  </property>
</Properties>
</file>