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555B" w:rsidTr="00345119">
        <w:tc>
          <w:tcPr>
            <w:tcW w:w="9576" w:type="dxa"/>
            <w:noWrap/>
          </w:tcPr>
          <w:p w:rsidR="008423E4" w:rsidRPr="0022177D" w:rsidRDefault="002038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38DD" w:rsidP="008423E4">
      <w:pPr>
        <w:jc w:val="center"/>
      </w:pPr>
    </w:p>
    <w:p w:rsidR="008423E4" w:rsidRPr="00B31F0E" w:rsidRDefault="002038DD" w:rsidP="008423E4"/>
    <w:p w:rsidR="008423E4" w:rsidRPr="00742794" w:rsidRDefault="002038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555B" w:rsidTr="00345119">
        <w:tc>
          <w:tcPr>
            <w:tcW w:w="9576" w:type="dxa"/>
          </w:tcPr>
          <w:p w:rsidR="008423E4" w:rsidRPr="00861995" w:rsidRDefault="002038DD" w:rsidP="00345119">
            <w:pPr>
              <w:jc w:val="right"/>
            </w:pPr>
            <w:r>
              <w:t>S.B. 1140</w:t>
            </w:r>
          </w:p>
        </w:tc>
      </w:tr>
      <w:tr w:rsidR="0014555B" w:rsidTr="00345119">
        <w:tc>
          <w:tcPr>
            <w:tcW w:w="9576" w:type="dxa"/>
          </w:tcPr>
          <w:p w:rsidR="008423E4" w:rsidRPr="00861995" w:rsidRDefault="002038DD" w:rsidP="00CD404F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14555B" w:rsidTr="00345119">
        <w:tc>
          <w:tcPr>
            <w:tcW w:w="9576" w:type="dxa"/>
          </w:tcPr>
          <w:p w:rsidR="008423E4" w:rsidRPr="00861995" w:rsidRDefault="002038DD" w:rsidP="00345119">
            <w:pPr>
              <w:jc w:val="right"/>
            </w:pPr>
            <w:r>
              <w:t>Human Services</w:t>
            </w:r>
          </w:p>
        </w:tc>
      </w:tr>
      <w:tr w:rsidR="0014555B" w:rsidTr="00345119">
        <w:tc>
          <w:tcPr>
            <w:tcW w:w="9576" w:type="dxa"/>
          </w:tcPr>
          <w:p w:rsidR="008423E4" w:rsidRDefault="002038DD" w:rsidP="00734B10">
            <w:pPr>
              <w:jc w:val="right"/>
            </w:pPr>
            <w:r>
              <w:t>Committee Report (Unamended)</w:t>
            </w:r>
          </w:p>
        </w:tc>
      </w:tr>
    </w:tbl>
    <w:p w:rsidR="008423E4" w:rsidRDefault="002038DD" w:rsidP="008423E4">
      <w:pPr>
        <w:tabs>
          <w:tab w:val="right" w:pos="9360"/>
        </w:tabs>
      </w:pPr>
    </w:p>
    <w:p w:rsidR="008423E4" w:rsidRDefault="002038DD" w:rsidP="008423E4"/>
    <w:p w:rsidR="008423E4" w:rsidRDefault="002038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555B" w:rsidTr="00345119">
        <w:tc>
          <w:tcPr>
            <w:tcW w:w="9576" w:type="dxa"/>
          </w:tcPr>
          <w:p w:rsidR="008423E4" w:rsidRPr="00A8133F" w:rsidRDefault="002038DD" w:rsidP="001862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38DD" w:rsidP="0018621B"/>
          <w:p w:rsidR="008423E4" w:rsidRDefault="002038DD" w:rsidP="0018621B">
            <w:pPr>
              <w:pStyle w:val="Header"/>
              <w:jc w:val="both"/>
            </w:pPr>
            <w:r>
              <w:t xml:space="preserve">It has been suggested that the state should provide for </w:t>
            </w:r>
            <w:r w:rsidRPr="000D1ABC">
              <w:t xml:space="preserve">an independent medical review of certain determinations by the Health and Human </w:t>
            </w:r>
            <w:r w:rsidRPr="000D1ABC">
              <w:t>Services Commission or a Medicaid managed care organization</w:t>
            </w:r>
            <w:r>
              <w:t xml:space="preserve"> regarding medical necessity, similar to what is done for commercial insurance. S.B. 1140 seeks to establish such an independent appeals procedure. </w:t>
            </w:r>
          </w:p>
          <w:p w:rsidR="008423E4" w:rsidRPr="00E26B13" w:rsidRDefault="002038DD" w:rsidP="0018621B">
            <w:pPr>
              <w:rPr>
                <w:b/>
              </w:rPr>
            </w:pPr>
          </w:p>
        </w:tc>
      </w:tr>
      <w:tr w:rsidR="0014555B" w:rsidTr="00345119">
        <w:tc>
          <w:tcPr>
            <w:tcW w:w="9576" w:type="dxa"/>
          </w:tcPr>
          <w:p w:rsidR="0017725B" w:rsidRDefault="002038DD" w:rsidP="00186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38DD" w:rsidP="0018621B">
            <w:pPr>
              <w:rPr>
                <w:b/>
                <w:u w:val="single"/>
              </w:rPr>
            </w:pPr>
          </w:p>
          <w:p w:rsidR="005A2813" w:rsidRPr="005A2813" w:rsidRDefault="002038DD" w:rsidP="0018621B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38DD" w:rsidP="0018621B">
            <w:pPr>
              <w:rPr>
                <w:b/>
                <w:u w:val="single"/>
              </w:rPr>
            </w:pPr>
          </w:p>
        </w:tc>
      </w:tr>
      <w:tr w:rsidR="0014555B" w:rsidTr="00345119">
        <w:tc>
          <w:tcPr>
            <w:tcW w:w="9576" w:type="dxa"/>
          </w:tcPr>
          <w:p w:rsidR="008423E4" w:rsidRPr="00A8133F" w:rsidRDefault="002038DD" w:rsidP="001862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2038DD" w:rsidP="0018621B"/>
          <w:p w:rsidR="005A2813" w:rsidRDefault="002038DD" w:rsidP="001862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2038DD" w:rsidP="0018621B">
            <w:pPr>
              <w:rPr>
                <w:b/>
              </w:rPr>
            </w:pPr>
          </w:p>
        </w:tc>
      </w:tr>
      <w:tr w:rsidR="0014555B" w:rsidTr="00345119">
        <w:tc>
          <w:tcPr>
            <w:tcW w:w="9576" w:type="dxa"/>
          </w:tcPr>
          <w:p w:rsidR="008423E4" w:rsidRPr="00A8133F" w:rsidRDefault="002038DD" w:rsidP="001862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38DD" w:rsidP="0018621B"/>
          <w:p w:rsidR="00290129" w:rsidRDefault="002038DD" w:rsidP="0018621B">
            <w:pPr>
              <w:pStyle w:val="Header"/>
              <w:jc w:val="both"/>
            </w:pPr>
            <w:r>
              <w:t>S.B. 1140</w:t>
            </w:r>
            <w:r>
              <w:t xml:space="preserve"> amends the </w:t>
            </w:r>
            <w:r w:rsidRPr="005A2813">
              <w:t>Government Code</w:t>
            </w:r>
            <w:r>
              <w:t xml:space="preserve"> to requi</w:t>
            </w:r>
            <w:r>
              <w:t xml:space="preserve">re </w:t>
            </w:r>
            <w:r>
              <w:t xml:space="preserve">the </w:t>
            </w:r>
            <w:r w:rsidRPr="007259B0">
              <w:t>Health and Human Services Commission</w:t>
            </w:r>
            <w:r>
              <w:t xml:space="preserve"> (HHSC)</w:t>
            </w:r>
            <w:r>
              <w:t>, using money appropriated for that purpose,</w:t>
            </w:r>
            <w:r>
              <w:t xml:space="preserve"> to </w:t>
            </w:r>
            <w:r w:rsidRPr="007259B0">
              <w:t xml:space="preserve">contract with at least three independent, third-party arbiters to resolve </w:t>
            </w:r>
            <w:r>
              <w:t xml:space="preserve">an </w:t>
            </w:r>
            <w:r w:rsidRPr="007259B0">
              <w:t>appeal</w:t>
            </w:r>
            <w:r>
              <w:t xml:space="preserve"> </w:t>
            </w:r>
            <w:r w:rsidRPr="007259B0">
              <w:t>of</w:t>
            </w:r>
            <w:r>
              <w:t xml:space="preserve"> the following:</w:t>
            </w:r>
            <w:r w:rsidRPr="007259B0">
              <w:t xml:space="preserve"> </w:t>
            </w:r>
          </w:p>
          <w:p w:rsidR="00290129" w:rsidRDefault="002038DD" w:rsidP="0018621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</w:t>
            </w:r>
            <w:r w:rsidRPr="007259B0">
              <w:t xml:space="preserve"> Medicaid managed care organization </w:t>
            </w:r>
            <w:r>
              <w:t xml:space="preserve">(MCO) </w:t>
            </w:r>
            <w:r w:rsidRPr="007259B0">
              <w:t xml:space="preserve">adverse benefit determination </w:t>
            </w:r>
            <w:r>
              <w:t>made</w:t>
            </w:r>
            <w:r w:rsidRPr="007259B0">
              <w:t xml:space="preserve"> on the basis of medical necessity</w:t>
            </w:r>
            <w:r>
              <w:t xml:space="preserve">; </w:t>
            </w:r>
          </w:p>
          <w:p w:rsidR="00290129" w:rsidRDefault="002038DD" w:rsidP="0018621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denial by HHSC of </w:t>
            </w:r>
            <w:r w:rsidRPr="00B3271F">
              <w:t>eligibility for a Medicaid program on the basis of the recipient's or applicant's medical and functional needs</w:t>
            </w:r>
            <w:r>
              <w:t xml:space="preserve">; </w:t>
            </w:r>
            <w:r>
              <w:t>and</w:t>
            </w:r>
            <w:r>
              <w:t xml:space="preserve"> </w:t>
            </w:r>
          </w:p>
          <w:p w:rsidR="00290129" w:rsidRDefault="002038DD" w:rsidP="0018621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an action by HHSC based on a recipient's medical</w:t>
            </w:r>
            <w:r>
              <w:t xml:space="preserve"> and functional </w:t>
            </w:r>
            <w:r>
              <w:t xml:space="preserve">needs </w:t>
            </w:r>
            <w:r>
              <w:t>to</w:t>
            </w:r>
            <w:r w:rsidRPr="00290129">
              <w:t xml:space="preserve"> terminat</w:t>
            </w:r>
            <w:r>
              <w:t>e</w:t>
            </w:r>
            <w:r w:rsidRPr="00290129">
              <w:t>, suspen</w:t>
            </w:r>
            <w:r>
              <w:t>d</w:t>
            </w:r>
            <w:r w:rsidRPr="00290129">
              <w:t>, or reduc</w:t>
            </w:r>
            <w:r>
              <w:t>e</w:t>
            </w:r>
            <w:r w:rsidRPr="00290129">
              <w:t xml:space="preserve"> </w:t>
            </w:r>
            <w:r>
              <w:t>the recipient's</w:t>
            </w:r>
            <w:r w:rsidRPr="00290129">
              <w:t xml:space="preserve"> covered benefits or services or </w:t>
            </w:r>
            <w:r>
              <w:t>to</w:t>
            </w:r>
            <w:r w:rsidRPr="00290129">
              <w:t xml:space="preserve"> terminat</w:t>
            </w:r>
            <w:r>
              <w:t>e</w:t>
            </w:r>
            <w:r w:rsidRPr="00290129">
              <w:t>, suspen</w:t>
            </w:r>
            <w:r>
              <w:t>d</w:t>
            </w:r>
            <w:r w:rsidRPr="00290129">
              <w:t>, or reduc</w:t>
            </w:r>
            <w:r>
              <w:t>e</w:t>
            </w:r>
            <w:r w:rsidRPr="00290129">
              <w:t xml:space="preserve"> </w:t>
            </w:r>
            <w:r>
              <w:t xml:space="preserve">the recipient's </w:t>
            </w:r>
            <w:r w:rsidRPr="00290129">
              <w:t xml:space="preserve">Medicaid eligibility or increase </w:t>
            </w:r>
            <w:r>
              <w:t xml:space="preserve">the recipient's </w:t>
            </w:r>
            <w:r w:rsidRPr="00290129">
              <w:t>beneficiary liability</w:t>
            </w:r>
            <w:r w:rsidRPr="007259B0">
              <w:t>.</w:t>
            </w:r>
            <w:r>
              <w:t xml:space="preserve"> </w:t>
            </w:r>
          </w:p>
          <w:p w:rsidR="00E20595" w:rsidRDefault="002038DD" w:rsidP="0018621B">
            <w:pPr>
              <w:pStyle w:val="Header"/>
              <w:jc w:val="both"/>
            </w:pPr>
            <w:r>
              <w:t xml:space="preserve">The bill </w:t>
            </w:r>
            <w:r>
              <w:t xml:space="preserve">sets out a timeline for </w:t>
            </w:r>
            <w:r>
              <w:t xml:space="preserve">when </w:t>
            </w:r>
            <w:r>
              <w:t>such an appeal</w:t>
            </w:r>
            <w:r>
              <w:t xml:space="preserve"> </w:t>
            </w:r>
            <w:r>
              <w:t xml:space="preserve">occurs and is granted </w:t>
            </w:r>
            <w:r>
              <w:t>and</w:t>
            </w:r>
            <w:r>
              <w:t xml:space="preserve"> </w:t>
            </w:r>
            <w:r>
              <w:t xml:space="preserve">requires the arbiter to </w:t>
            </w:r>
            <w:r w:rsidRPr="00B3271F">
              <w:t xml:space="preserve">conduct the appeal within a period specified by </w:t>
            </w:r>
            <w:r>
              <w:t xml:space="preserve">HHSC. The bill </w:t>
            </w:r>
            <w:r>
              <w:t xml:space="preserve">requires HHSC to </w:t>
            </w:r>
            <w:r w:rsidRPr="007259B0">
              <w:t>establish</w:t>
            </w:r>
            <w:r>
              <w:t xml:space="preserve"> a common procedure for appeals that provides </w:t>
            </w:r>
            <w:r w:rsidRPr="004A09FB">
              <w:t xml:space="preserve">that a health care service </w:t>
            </w:r>
            <w:r w:rsidRPr="004A09FB">
              <w:t xml:space="preserve">ordered by a health care provider is presumed medically necessary and </w:t>
            </w:r>
            <w:r>
              <w:t xml:space="preserve">that </w:t>
            </w:r>
            <w:r>
              <w:t>HHSC</w:t>
            </w:r>
            <w:r w:rsidRPr="004A09FB">
              <w:t xml:space="preserve"> or </w:t>
            </w:r>
            <w:r>
              <w:t xml:space="preserve">the </w:t>
            </w:r>
            <w:r w:rsidRPr="004A09FB">
              <w:t xml:space="preserve">Medicaid </w:t>
            </w:r>
            <w:r>
              <w:t>MCO</w:t>
            </w:r>
            <w:r w:rsidRPr="004A09FB">
              <w:t xml:space="preserve"> bears the burden of proof to show the health care service is not medically necessary.</w:t>
            </w:r>
            <w:r>
              <w:t xml:space="preserve"> </w:t>
            </w:r>
            <w:r>
              <w:t xml:space="preserve"> </w:t>
            </w:r>
          </w:p>
          <w:p w:rsidR="00E20595" w:rsidRDefault="002038DD" w:rsidP="0018621B">
            <w:pPr>
              <w:pStyle w:val="Header"/>
              <w:jc w:val="both"/>
            </w:pPr>
          </w:p>
          <w:p w:rsidR="006B48CC" w:rsidRDefault="002038DD" w:rsidP="0018621B">
            <w:pPr>
              <w:pStyle w:val="Header"/>
              <w:jc w:val="both"/>
            </w:pPr>
            <w:r>
              <w:t>S.B. 1140</w:t>
            </w:r>
            <w:r>
              <w:t xml:space="preserve"> requires HHSC to establish a procedure for expedited appeals that allows a third-party arbiter to identify an appeal that requires an expedited resolution and resolve the appeal within a specified period. The bill requires HHSC to ensure </w:t>
            </w:r>
            <w:r w:rsidRPr="004A09FB">
              <w:t>an appeal is rand</w:t>
            </w:r>
            <w:r w:rsidRPr="004A09FB">
              <w:t>omly as</w:t>
            </w:r>
            <w:r>
              <w:t>signed to a third</w:t>
            </w:r>
            <w:r>
              <w:noBreakHyphen/>
            </w:r>
            <w:r>
              <w:t>party arbiter and ensure e</w:t>
            </w:r>
            <w:r w:rsidRPr="004A09FB">
              <w:t>ach arbiter has the necessary medical expertise to resolve an appeal.</w:t>
            </w:r>
            <w:r>
              <w:t xml:space="preserve"> The bill requires a third-party arbiter to </w:t>
            </w:r>
            <w:r>
              <w:t>do the following:</w:t>
            </w:r>
          </w:p>
          <w:p w:rsidR="006B48CC" w:rsidRDefault="002038DD" w:rsidP="001862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A09FB">
              <w:t xml:space="preserve">establish and maintain an Internet portal through which a </w:t>
            </w:r>
            <w:r>
              <w:t xml:space="preserve">Medicaid </w:t>
            </w:r>
            <w:r w:rsidRPr="004A09FB">
              <w:t>recipie</w:t>
            </w:r>
            <w:r w:rsidRPr="004A09FB">
              <w:t>nt may track the status and</w:t>
            </w:r>
            <w:r>
              <w:t xml:space="preserve"> final disposition of an appeal; </w:t>
            </w:r>
          </w:p>
          <w:p w:rsidR="006B48CC" w:rsidRDefault="002038DD" w:rsidP="0018621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4A09FB">
              <w:t xml:space="preserve">educate </w:t>
            </w:r>
            <w:r>
              <w:t xml:space="preserve">Medicaid </w:t>
            </w:r>
            <w:r w:rsidRPr="004A09FB">
              <w:t>recipients regarding appeals processes</w:t>
            </w:r>
            <w:r>
              <w:t xml:space="preserve"> and</w:t>
            </w:r>
            <w:r w:rsidRPr="004A09FB">
              <w:t xml:space="preserve"> options, proper and improper denials of health care services on the basis of medical necessity</w:t>
            </w:r>
            <w:r>
              <w:t xml:space="preserve">, and </w:t>
            </w:r>
            <w:r w:rsidRPr="00B3271F">
              <w:t>information available through the o</w:t>
            </w:r>
            <w:r w:rsidRPr="00B3271F">
              <w:t>ffice of the ombudsman</w:t>
            </w:r>
            <w:r>
              <w:t xml:space="preserve"> for HHSC</w:t>
            </w:r>
            <w:r>
              <w:t xml:space="preserve">; and </w:t>
            </w:r>
          </w:p>
          <w:p w:rsidR="00B3271F" w:rsidRDefault="002038DD" w:rsidP="0018621B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notify HHSC of the final disposition of each appeal.</w:t>
            </w:r>
          </w:p>
          <w:p w:rsidR="00B86707" w:rsidRDefault="002038DD" w:rsidP="0018621B">
            <w:pPr>
              <w:pStyle w:val="Header"/>
              <w:jc w:val="both"/>
            </w:pPr>
          </w:p>
          <w:p w:rsidR="00B86707" w:rsidRDefault="002038DD" w:rsidP="0018621B">
            <w:pPr>
              <w:pStyle w:val="Header"/>
              <w:jc w:val="both"/>
            </w:pPr>
            <w:r>
              <w:t>S.B. 1140</w:t>
            </w:r>
            <w:r>
              <w:t xml:space="preserve"> requires HHSC to </w:t>
            </w:r>
            <w:r w:rsidRPr="004A09FB">
              <w:t xml:space="preserve">review aggregate denial data categorized by Medicaid managed care plan to identify trends and determine whether a Medicaid </w:t>
            </w:r>
            <w:r>
              <w:t>MCO</w:t>
            </w:r>
            <w:r w:rsidRPr="004A09FB">
              <w:t xml:space="preserve"> is disprop</w:t>
            </w:r>
            <w:r w:rsidRPr="004A09FB">
              <w:t>ortionately denying prior authorization requests from a single provider or set of providers.</w:t>
            </w:r>
            <w:r>
              <w:t xml:space="preserve"> </w:t>
            </w:r>
            <w:r>
              <w:t>The bill authorizes a third</w:t>
            </w:r>
            <w:r>
              <w:t>-</w:t>
            </w:r>
            <w:r>
              <w:t>party arbiter to share with Medicaid MCO</w:t>
            </w:r>
            <w:r>
              <w:t>s</w:t>
            </w:r>
            <w:r>
              <w:t xml:space="preserve"> information regarding appeals processes and the types of documents the arbiter may require fr</w:t>
            </w:r>
            <w:r>
              <w:t xml:space="preserve">om the MCO to resolve appeals. </w:t>
            </w:r>
          </w:p>
          <w:p w:rsidR="00B86707" w:rsidRDefault="002038DD" w:rsidP="0018621B">
            <w:pPr>
              <w:pStyle w:val="Header"/>
              <w:jc w:val="both"/>
            </w:pPr>
          </w:p>
          <w:p w:rsidR="008423E4" w:rsidRDefault="002038DD" w:rsidP="0018621B">
            <w:pPr>
              <w:pStyle w:val="Header"/>
              <w:jc w:val="both"/>
            </w:pPr>
            <w:r>
              <w:t>S.B. 1140</w:t>
            </w:r>
            <w:r>
              <w:t xml:space="preserve"> requires the executive commissioner </w:t>
            </w:r>
            <w:r>
              <w:t xml:space="preserve">of HHSC </w:t>
            </w:r>
            <w:r>
              <w:t xml:space="preserve">to adopt </w:t>
            </w:r>
            <w:r>
              <w:t xml:space="preserve">the </w:t>
            </w:r>
            <w:r>
              <w:t>rules necessary to implement the bill's provisions.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2038DD" w:rsidP="0018621B">
            <w:pPr>
              <w:rPr>
                <w:b/>
              </w:rPr>
            </w:pPr>
          </w:p>
        </w:tc>
      </w:tr>
      <w:tr w:rsidR="0014555B" w:rsidTr="00345119">
        <w:tc>
          <w:tcPr>
            <w:tcW w:w="9576" w:type="dxa"/>
          </w:tcPr>
          <w:p w:rsidR="008423E4" w:rsidRPr="00A8133F" w:rsidRDefault="002038DD" w:rsidP="001862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38DD" w:rsidP="0018621B"/>
          <w:p w:rsidR="008423E4" w:rsidRPr="003624F2" w:rsidRDefault="002038DD" w:rsidP="001862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37CA9">
              <w:t>September 1, 2019.</w:t>
            </w:r>
          </w:p>
          <w:p w:rsidR="008423E4" w:rsidRPr="00233FDB" w:rsidRDefault="002038DD" w:rsidP="0018621B">
            <w:pPr>
              <w:rPr>
                <w:b/>
              </w:rPr>
            </w:pPr>
          </w:p>
        </w:tc>
      </w:tr>
    </w:tbl>
    <w:p w:rsidR="008423E4" w:rsidRPr="00BE0E75" w:rsidRDefault="002038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38D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8DD">
      <w:r>
        <w:separator/>
      </w:r>
    </w:p>
  </w:endnote>
  <w:endnote w:type="continuationSeparator" w:id="0">
    <w:p w:rsidR="00000000" w:rsidRDefault="0020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4" w:rsidRDefault="00203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555B" w:rsidTr="009C1E9A">
      <w:trPr>
        <w:cantSplit/>
      </w:trPr>
      <w:tc>
        <w:tcPr>
          <w:tcW w:w="0" w:type="pct"/>
        </w:tcPr>
        <w:p w:rsidR="00137D90" w:rsidRDefault="002038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38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38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38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38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555B" w:rsidTr="009C1E9A">
      <w:trPr>
        <w:cantSplit/>
      </w:trPr>
      <w:tc>
        <w:tcPr>
          <w:tcW w:w="0" w:type="pct"/>
        </w:tcPr>
        <w:p w:rsidR="00EC379B" w:rsidRDefault="002038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38DD" w:rsidP="00734B1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33994</w:t>
          </w:r>
        </w:p>
      </w:tc>
      <w:tc>
        <w:tcPr>
          <w:tcW w:w="2453" w:type="pct"/>
        </w:tcPr>
        <w:p w:rsidR="00EC379B" w:rsidRDefault="002038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19.134.1048</w:t>
          </w:r>
          <w:r>
            <w:fldChar w:fldCharType="end"/>
          </w:r>
        </w:p>
      </w:tc>
    </w:tr>
    <w:tr w:rsidR="0014555B" w:rsidTr="009C1E9A">
      <w:trPr>
        <w:cantSplit/>
      </w:trPr>
      <w:tc>
        <w:tcPr>
          <w:tcW w:w="0" w:type="pct"/>
        </w:tcPr>
        <w:p w:rsidR="00EC379B" w:rsidRDefault="002038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38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38DD" w:rsidP="006D504F">
          <w:pPr>
            <w:pStyle w:val="Footer"/>
            <w:rPr>
              <w:rStyle w:val="PageNumber"/>
            </w:rPr>
          </w:pPr>
        </w:p>
        <w:p w:rsidR="00EC379B" w:rsidRDefault="002038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55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38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38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38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4" w:rsidRDefault="00203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8DD">
      <w:r>
        <w:separator/>
      </w:r>
    </w:p>
  </w:footnote>
  <w:footnote w:type="continuationSeparator" w:id="0">
    <w:p w:rsidR="00000000" w:rsidRDefault="0020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4" w:rsidRDefault="00203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4" w:rsidRDefault="00203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74" w:rsidRDefault="00203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6C0"/>
    <w:multiLevelType w:val="hybridMultilevel"/>
    <w:tmpl w:val="01686B54"/>
    <w:lvl w:ilvl="0" w:tplc="82687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CA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E1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68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5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02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6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A8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44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B25B7"/>
    <w:multiLevelType w:val="hybridMultilevel"/>
    <w:tmpl w:val="0A4C897C"/>
    <w:lvl w:ilvl="0" w:tplc="5D283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ED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41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7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4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09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E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F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C8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B"/>
    <w:rsid w:val="0014555B"/>
    <w:rsid w:val="002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BE1FA0-CB14-46CA-A578-AA6EC61D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09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9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9FB"/>
    <w:rPr>
      <w:b/>
      <w:bCs/>
    </w:rPr>
  </w:style>
  <w:style w:type="character" w:styleId="Hyperlink">
    <w:name w:val="Hyperlink"/>
    <w:basedOn w:val="DefaultParagraphFont"/>
    <w:unhideWhenUsed/>
    <w:rsid w:val="00E205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62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3082</Characters>
  <Application>Microsoft Office Word</Application>
  <DocSecurity>4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SB01140 (Committee Report (Unamended))</vt:lpstr>
    </vt:vector>
  </TitlesOfParts>
  <Company>State of Texas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33994</dc:subject>
  <dc:creator>State of Texas</dc:creator>
  <dc:description>SB 1140 by Watson-(H)Human Services</dc:description>
  <cp:lastModifiedBy>Stacey Nicchio</cp:lastModifiedBy>
  <cp:revision>2</cp:revision>
  <cp:lastPrinted>2019-05-14T17:29:00Z</cp:lastPrinted>
  <dcterms:created xsi:type="dcterms:W3CDTF">2019-05-17T16:19:00Z</dcterms:created>
  <dcterms:modified xsi:type="dcterms:W3CDTF">2019-05-17T16:19:00Z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19.134.1048</vt:lpwstr>
  </property>
</Properties>
</file>