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F5340" w:rsidTr="00345119">
        <w:tc>
          <w:tcPr>
            <w:tcW w:w="9576" w:type="dxa"/>
            <w:noWrap/>
          </w:tcPr>
          <w:p w:rsidR="008423E4" w:rsidRPr="0022177D" w:rsidRDefault="00577E6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77E6B" w:rsidP="008423E4">
      <w:pPr>
        <w:jc w:val="center"/>
      </w:pPr>
    </w:p>
    <w:p w:rsidR="008423E4" w:rsidRPr="00B31F0E" w:rsidRDefault="00577E6B" w:rsidP="008423E4"/>
    <w:p w:rsidR="008423E4" w:rsidRPr="00742794" w:rsidRDefault="00577E6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F5340" w:rsidTr="00345119">
        <w:tc>
          <w:tcPr>
            <w:tcW w:w="9576" w:type="dxa"/>
          </w:tcPr>
          <w:p w:rsidR="008423E4" w:rsidRPr="00861995" w:rsidRDefault="00577E6B" w:rsidP="00345119">
            <w:pPr>
              <w:jc w:val="right"/>
            </w:pPr>
            <w:r>
              <w:t>S.B. 1145</w:t>
            </w:r>
          </w:p>
        </w:tc>
      </w:tr>
      <w:tr w:rsidR="00DF5340" w:rsidTr="00345119">
        <w:tc>
          <w:tcPr>
            <w:tcW w:w="9576" w:type="dxa"/>
          </w:tcPr>
          <w:p w:rsidR="008423E4" w:rsidRPr="00861995" w:rsidRDefault="00577E6B" w:rsidP="000A6F4F">
            <w:pPr>
              <w:jc w:val="right"/>
            </w:pPr>
            <w:r>
              <w:t xml:space="preserve">By: </w:t>
            </w:r>
            <w:r>
              <w:t>Johnson</w:t>
            </w:r>
          </w:p>
        </w:tc>
      </w:tr>
      <w:tr w:rsidR="00DF5340" w:rsidTr="00345119">
        <w:tc>
          <w:tcPr>
            <w:tcW w:w="9576" w:type="dxa"/>
          </w:tcPr>
          <w:p w:rsidR="008423E4" w:rsidRPr="00861995" w:rsidRDefault="00577E6B" w:rsidP="00345119">
            <w:pPr>
              <w:jc w:val="right"/>
            </w:pPr>
            <w:r>
              <w:t>Public Health</w:t>
            </w:r>
          </w:p>
        </w:tc>
      </w:tr>
      <w:tr w:rsidR="00DF5340" w:rsidTr="00345119">
        <w:tc>
          <w:tcPr>
            <w:tcW w:w="9576" w:type="dxa"/>
          </w:tcPr>
          <w:p w:rsidR="008423E4" w:rsidRDefault="00577E6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77E6B" w:rsidP="008423E4">
      <w:pPr>
        <w:tabs>
          <w:tab w:val="right" w:pos="9360"/>
        </w:tabs>
      </w:pPr>
    </w:p>
    <w:p w:rsidR="008423E4" w:rsidRDefault="00577E6B" w:rsidP="008423E4"/>
    <w:p w:rsidR="008423E4" w:rsidRDefault="00577E6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F5340" w:rsidTr="00345119">
        <w:tc>
          <w:tcPr>
            <w:tcW w:w="9576" w:type="dxa"/>
          </w:tcPr>
          <w:p w:rsidR="008423E4" w:rsidRPr="00A8133F" w:rsidRDefault="00577E6B" w:rsidP="0042379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77E6B" w:rsidP="0042379F"/>
          <w:p w:rsidR="008423E4" w:rsidRDefault="00577E6B" w:rsidP="0042379F">
            <w:pPr>
              <w:pStyle w:val="Header"/>
              <w:jc w:val="both"/>
            </w:pPr>
            <w:r>
              <w:t>Concerns have been raised regarding the prevalence of eating disorders among Texans. Reports indicate that e</w:t>
            </w:r>
            <w:r>
              <w:t xml:space="preserve">ating disorders </w:t>
            </w:r>
            <w:r>
              <w:t xml:space="preserve">often </w:t>
            </w:r>
            <w:r>
              <w:t xml:space="preserve">have </w:t>
            </w:r>
            <w:r>
              <w:t>high</w:t>
            </w:r>
            <w:r>
              <w:t xml:space="preserve"> mortality rate</w:t>
            </w:r>
            <w:r>
              <w:t xml:space="preserve">s and may lead to an increased risk of suicide. </w:t>
            </w:r>
            <w:r>
              <w:t xml:space="preserve">Although eating disorders are life-threatening illnesses, </w:t>
            </w:r>
            <w:r>
              <w:t xml:space="preserve">it has been </w:t>
            </w:r>
            <w:r>
              <w:t>noted</w:t>
            </w:r>
            <w:r>
              <w:t xml:space="preserve"> that these disorders</w:t>
            </w:r>
            <w:r>
              <w:t xml:space="preserve"> are treatable</w:t>
            </w:r>
            <w:r>
              <w:t xml:space="preserve"> and that p</w:t>
            </w:r>
            <w:r>
              <w:t>atients can</w:t>
            </w:r>
            <w:r>
              <w:t xml:space="preserve"> </w:t>
            </w:r>
            <w:r>
              <w:t xml:space="preserve">recover with early, intensive intervention. </w:t>
            </w:r>
            <w:r>
              <w:t xml:space="preserve">There have been </w:t>
            </w:r>
            <w:r>
              <w:t xml:space="preserve">calls for more research regarding these disorders </w:t>
            </w:r>
            <w:r>
              <w:t>to develop additional resources and better treatment strategies for</w:t>
            </w:r>
            <w:r>
              <w:t xml:space="preserve"> </w:t>
            </w:r>
            <w:r>
              <w:t>those living with eating disorder</w:t>
            </w:r>
            <w:r>
              <w:t>s</w:t>
            </w:r>
            <w:r>
              <w:t xml:space="preserve"> </w:t>
            </w:r>
            <w:r>
              <w:t>in Texas</w:t>
            </w:r>
            <w:r>
              <w:t xml:space="preserve">. S.B. 1145 </w:t>
            </w:r>
            <w:r>
              <w:t>seeks to address this issue by providing for reports on the prevalence of eating di</w:t>
            </w:r>
            <w:r>
              <w:t>sorders and eating disorder-related deaths in Texas</w:t>
            </w:r>
            <w:r>
              <w:t>.</w:t>
            </w:r>
          </w:p>
          <w:p w:rsidR="008423E4" w:rsidRPr="00E26B13" w:rsidRDefault="00577E6B" w:rsidP="0042379F">
            <w:pPr>
              <w:rPr>
                <w:b/>
              </w:rPr>
            </w:pPr>
          </w:p>
        </w:tc>
      </w:tr>
      <w:tr w:rsidR="00DF5340" w:rsidTr="00345119">
        <w:tc>
          <w:tcPr>
            <w:tcW w:w="9576" w:type="dxa"/>
          </w:tcPr>
          <w:p w:rsidR="0017725B" w:rsidRDefault="00577E6B" w:rsidP="004237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77E6B" w:rsidP="0042379F">
            <w:pPr>
              <w:rPr>
                <w:b/>
                <w:u w:val="single"/>
              </w:rPr>
            </w:pPr>
          </w:p>
          <w:p w:rsidR="004A6B0A" w:rsidRPr="004A6B0A" w:rsidRDefault="00577E6B" w:rsidP="0042379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:rsidR="0017725B" w:rsidRPr="0017725B" w:rsidRDefault="00577E6B" w:rsidP="0042379F">
            <w:pPr>
              <w:rPr>
                <w:b/>
                <w:u w:val="single"/>
              </w:rPr>
            </w:pPr>
          </w:p>
        </w:tc>
      </w:tr>
      <w:tr w:rsidR="00DF5340" w:rsidTr="00345119">
        <w:tc>
          <w:tcPr>
            <w:tcW w:w="9576" w:type="dxa"/>
          </w:tcPr>
          <w:p w:rsidR="008423E4" w:rsidRPr="00A8133F" w:rsidRDefault="00577E6B" w:rsidP="0042379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77E6B" w:rsidP="0042379F"/>
          <w:p w:rsidR="004A6B0A" w:rsidRDefault="00577E6B" w:rsidP="004237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577E6B" w:rsidP="0042379F">
            <w:pPr>
              <w:rPr>
                <w:b/>
              </w:rPr>
            </w:pPr>
          </w:p>
        </w:tc>
      </w:tr>
      <w:tr w:rsidR="00DF5340" w:rsidTr="00345119">
        <w:tc>
          <w:tcPr>
            <w:tcW w:w="9576" w:type="dxa"/>
          </w:tcPr>
          <w:p w:rsidR="008423E4" w:rsidRPr="00A8133F" w:rsidRDefault="00577E6B" w:rsidP="0042379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77E6B" w:rsidP="0042379F"/>
          <w:p w:rsidR="008423E4" w:rsidRDefault="00577E6B" w:rsidP="004237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1145 requires the Department of State Health Services (DSHS), in collaboration with the Health and Human Services Commission</w:t>
            </w:r>
            <w:r>
              <w:t xml:space="preserve"> (HHSC)</w:t>
            </w:r>
            <w:r>
              <w:t xml:space="preserve"> to </w:t>
            </w:r>
            <w:r w:rsidRPr="00367173">
              <w:t>prepare a report on the prevalence of eating disorders and eating d</w:t>
            </w:r>
            <w:r w:rsidRPr="00367173">
              <w:t xml:space="preserve">isorder-related deaths in </w:t>
            </w:r>
            <w:r>
              <w:t>Texas and</w:t>
            </w:r>
            <w:r>
              <w:t>, not later than December 1, 2020,</w:t>
            </w:r>
            <w:r>
              <w:t xml:space="preserve"> </w:t>
            </w:r>
            <w:r>
              <w:t xml:space="preserve">to </w:t>
            </w:r>
            <w:r>
              <w:t xml:space="preserve">prepare and </w:t>
            </w:r>
            <w:r>
              <w:t xml:space="preserve">submit </w:t>
            </w:r>
            <w:r w:rsidRPr="00367173">
              <w:t>to the legislature a copy of the report and any recommendations for legislative or other action to reduce the prevalence of eating disorders in</w:t>
            </w:r>
            <w:r>
              <w:t xml:space="preserve"> Texas</w:t>
            </w:r>
            <w:r w:rsidRPr="00367173">
              <w:t>.</w:t>
            </w:r>
            <w:r>
              <w:t xml:space="preserve"> The bill auth</w:t>
            </w:r>
            <w:r>
              <w:t>orizes DSHS to post the report on the DSHS website</w:t>
            </w:r>
            <w:r>
              <w:t xml:space="preserve"> and</w:t>
            </w:r>
            <w:r>
              <w:t xml:space="preserve"> requires the report to include:</w:t>
            </w:r>
          </w:p>
          <w:p w:rsidR="00367173" w:rsidRDefault="00577E6B" w:rsidP="0042379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statewide and regional statistics regarding the prevalence of eating disorders and eating disorder-related deaths in </w:t>
            </w:r>
            <w:r>
              <w:t>Texas</w:t>
            </w:r>
            <w:r>
              <w:t>;</w:t>
            </w:r>
          </w:p>
          <w:p w:rsidR="00367173" w:rsidRDefault="00577E6B" w:rsidP="0042379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an overview of national trends in eating diso</w:t>
            </w:r>
            <w:r>
              <w:t>rders; and</w:t>
            </w:r>
          </w:p>
          <w:p w:rsidR="00367173" w:rsidRDefault="00577E6B" w:rsidP="0042379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an overview of state-funded behavioral health treatment options available to persons with eating disorders.</w:t>
            </w:r>
          </w:p>
          <w:p w:rsidR="00560D3B" w:rsidRDefault="00577E6B" w:rsidP="004237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requires DSHS to gather the required information for the report from </w:t>
            </w:r>
            <w:r w:rsidRPr="00560D3B">
              <w:t>information collected by</w:t>
            </w:r>
            <w:r>
              <w:t xml:space="preserve"> DSHS and HHSC</w:t>
            </w:r>
            <w:r w:rsidRPr="00560D3B">
              <w:t>, including informati</w:t>
            </w:r>
            <w:r w:rsidRPr="00560D3B">
              <w:t>on from the vital statistics unit and the Medicaid program</w:t>
            </w:r>
            <w:r>
              <w:t xml:space="preserve">, and </w:t>
            </w:r>
            <w:r w:rsidRPr="00560D3B">
              <w:t>hospitals, treatment centers, available surveys, and other relevant sources.</w:t>
            </w:r>
            <w:r>
              <w:t xml:space="preserve"> The bill authorizes DSHS to </w:t>
            </w:r>
            <w:r w:rsidRPr="00560D3B">
              <w:t>accept gifts, grants, and donations from any source to fund expenses incurred by</w:t>
            </w:r>
            <w:r>
              <w:t xml:space="preserve"> DSHS i</w:t>
            </w:r>
            <w:r>
              <w:t>n preparing the report. The</w:t>
            </w:r>
            <w:r>
              <w:t>se</w:t>
            </w:r>
            <w:r>
              <w:t xml:space="preserve"> provisions </w:t>
            </w:r>
            <w:r>
              <w:t>expire September 1, 2021.</w:t>
            </w:r>
          </w:p>
          <w:p w:rsidR="00943D59" w:rsidRDefault="00577E6B" w:rsidP="004237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43D59" w:rsidRDefault="00577E6B" w:rsidP="004237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1145 requires DSHS to </w:t>
            </w:r>
            <w:r w:rsidRPr="00943D59">
              <w:t xml:space="preserve">prepare a report on the prevalence of eating disorders among youth in </w:t>
            </w:r>
            <w:r>
              <w:t>Texas. The bill authorizes DSHS</w:t>
            </w:r>
            <w:r>
              <w:t>, wh</w:t>
            </w:r>
            <w:r>
              <w:t>en</w:t>
            </w:r>
            <w:r>
              <w:t xml:space="preserve"> </w:t>
            </w:r>
            <w:r w:rsidRPr="00943D59">
              <w:t xml:space="preserve">administering the Youth Risk Behavior Survey created </w:t>
            </w:r>
            <w:r w:rsidRPr="00943D59">
              <w:t>by the federal Centers for Disease Control and Prevention to youth in</w:t>
            </w:r>
            <w:r>
              <w:t xml:space="preserve"> Texas</w:t>
            </w:r>
            <w:r>
              <w:t>,</w:t>
            </w:r>
            <w:r>
              <w:t xml:space="preserve"> to </w:t>
            </w:r>
            <w:r w:rsidRPr="00943D59">
              <w:t>include additional questions as necessary to assist</w:t>
            </w:r>
            <w:r>
              <w:t xml:space="preserve"> DSHS in </w:t>
            </w:r>
            <w:r w:rsidRPr="00943D59">
              <w:t xml:space="preserve">assessing the prevalence of eating disorders among </w:t>
            </w:r>
            <w:r>
              <w:t xml:space="preserve">such </w:t>
            </w:r>
            <w:r w:rsidRPr="00943D59">
              <w:t>youth for purposes of the report.</w:t>
            </w:r>
            <w:r>
              <w:t xml:space="preserve"> The bill requires DSHS, no</w:t>
            </w:r>
            <w:r>
              <w:t xml:space="preserve">t later than December 1, 2022, to </w:t>
            </w:r>
            <w:r w:rsidRPr="004A6B0A">
              <w:t>submit to the legislature a copy of the report and a summary of the survey findings relating to the prevalence of eating disorders among</w:t>
            </w:r>
            <w:r>
              <w:t xml:space="preserve"> such</w:t>
            </w:r>
            <w:r w:rsidRPr="004A6B0A">
              <w:t xml:space="preserve"> youth</w:t>
            </w:r>
            <w:r>
              <w:t xml:space="preserve">. The bill authorizes DSHS to post the report and summary on the DSHS </w:t>
            </w:r>
            <w:r>
              <w:t>website</w:t>
            </w:r>
            <w:r>
              <w:t xml:space="preserve"> and</w:t>
            </w:r>
            <w:r>
              <w:t xml:space="preserve"> authorizes DSHS to </w:t>
            </w:r>
            <w:r w:rsidRPr="004A6B0A">
              <w:t>accept gifts, grants, and donations from any source to fund expenses incurred by</w:t>
            </w:r>
            <w:r>
              <w:t xml:space="preserve"> DSHS in preparing the report. The</w:t>
            </w:r>
            <w:r>
              <w:t xml:space="preserve">se </w:t>
            </w:r>
            <w:r>
              <w:t>provisions expire September 1, 2023.</w:t>
            </w:r>
          </w:p>
          <w:p w:rsidR="004A6B0A" w:rsidRDefault="00577E6B" w:rsidP="004237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A6B0A" w:rsidRDefault="00577E6B" w:rsidP="004237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1145 establishes that DSHS is </w:t>
            </w:r>
            <w:r w:rsidRPr="004A6B0A">
              <w:t>required to implement a provision o</w:t>
            </w:r>
            <w:r w:rsidRPr="004A6B0A">
              <w:t>f</w:t>
            </w:r>
            <w:r>
              <w:t xml:space="preserve"> the bill only if DSHS </w:t>
            </w:r>
            <w:r w:rsidRPr="004A6B0A">
              <w:t>receives gifts, grants, or donations specifically for that purpose or the legislature appropriates mone</w:t>
            </w:r>
            <w:r>
              <w:t>y specifically for that purpose</w:t>
            </w:r>
            <w:r>
              <w:t>. If the</w:t>
            </w:r>
            <w:r>
              <w:t xml:space="preserve"> legislature does not appropriate money specifically for that purpose and</w:t>
            </w:r>
            <w:r>
              <w:t xml:space="preserve"> DSHS does not re</w:t>
            </w:r>
            <w:r>
              <w:t xml:space="preserve">ceive </w:t>
            </w:r>
            <w:r w:rsidRPr="004A6B0A">
              <w:t>gifts, grants, or donations specifically for that purpose</w:t>
            </w:r>
            <w:r>
              <w:t>, DSHS may</w:t>
            </w:r>
            <w:r>
              <w:t xml:space="preserve">, but </w:t>
            </w:r>
            <w:r>
              <w:t>is</w:t>
            </w:r>
            <w:r>
              <w:t xml:space="preserve"> not require</w:t>
            </w:r>
            <w:r>
              <w:t>d to</w:t>
            </w:r>
            <w:r>
              <w:t xml:space="preserve">, implement a provision of the bill </w:t>
            </w:r>
            <w:r w:rsidRPr="004A6B0A">
              <w:t>using other appropriations available for that purpose</w:t>
            </w:r>
            <w:r>
              <w:t>.</w:t>
            </w:r>
          </w:p>
          <w:p w:rsidR="008423E4" w:rsidRPr="00835628" w:rsidRDefault="00577E6B" w:rsidP="0042379F">
            <w:pPr>
              <w:rPr>
                <w:b/>
              </w:rPr>
            </w:pPr>
          </w:p>
        </w:tc>
      </w:tr>
      <w:tr w:rsidR="00DF5340" w:rsidTr="00345119">
        <w:tc>
          <w:tcPr>
            <w:tcW w:w="9576" w:type="dxa"/>
          </w:tcPr>
          <w:p w:rsidR="008423E4" w:rsidRPr="00A8133F" w:rsidRDefault="00577E6B" w:rsidP="0042379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77E6B" w:rsidP="0042379F"/>
          <w:p w:rsidR="008423E4" w:rsidRPr="003624F2" w:rsidRDefault="00577E6B" w:rsidP="004237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</w:t>
            </w:r>
            <w:r>
              <w:t>necessary vote, September 1, 2019.</w:t>
            </w:r>
          </w:p>
          <w:p w:rsidR="008423E4" w:rsidRPr="00233FDB" w:rsidRDefault="00577E6B" w:rsidP="0042379F">
            <w:pPr>
              <w:rPr>
                <w:b/>
              </w:rPr>
            </w:pPr>
          </w:p>
        </w:tc>
      </w:tr>
    </w:tbl>
    <w:p w:rsidR="008423E4" w:rsidRPr="00BE0E75" w:rsidRDefault="00577E6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77E6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7E6B">
      <w:r>
        <w:separator/>
      </w:r>
    </w:p>
  </w:endnote>
  <w:endnote w:type="continuationSeparator" w:id="0">
    <w:p w:rsidR="00000000" w:rsidRDefault="0057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7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F5340" w:rsidTr="009C1E9A">
      <w:trPr>
        <w:cantSplit/>
      </w:trPr>
      <w:tc>
        <w:tcPr>
          <w:tcW w:w="0" w:type="pct"/>
        </w:tcPr>
        <w:p w:rsidR="00137D90" w:rsidRDefault="00577E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77E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77E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77E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77E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5340" w:rsidTr="009C1E9A">
      <w:trPr>
        <w:cantSplit/>
      </w:trPr>
      <w:tc>
        <w:tcPr>
          <w:tcW w:w="0" w:type="pct"/>
        </w:tcPr>
        <w:p w:rsidR="00EC379B" w:rsidRDefault="00577E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77E6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34636</w:t>
          </w:r>
        </w:p>
      </w:tc>
      <w:tc>
        <w:tcPr>
          <w:tcW w:w="2453" w:type="pct"/>
        </w:tcPr>
        <w:p w:rsidR="00EC379B" w:rsidRDefault="00577E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19.136.549</w:t>
          </w:r>
          <w:r>
            <w:fldChar w:fldCharType="end"/>
          </w:r>
        </w:p>
      </w:tc>
    </w:tr>
    <w:tr w:rsidR="00DF5340" w:rsidTr="009C1E9A">
      <w:trPr>
        <w:cantSplit/>
      </w:trPr>
      <w:tc>
        <w:tcPr>
          <w:tcW w:w="0" w:type="pct"/>
        </w:tcPr>
        <w:p w:rsidR="00EC379B" w:rsidRDefault="00577E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77E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77E6B" w:rsidP="006D504F">
          <w:pPr>
            <w:pStyle w:val="Footer"/>
            <w:rPr>
              <w:rStyle w:val="PageNumber"/>
            </w:rPr>
          </w:pPr>
        </w:p>
        <w:p w:rsidR="00EC379B" w:rsidRDefault="00577E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534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77E6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77E6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77E6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7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7E6B">
      <w:r>
        <w:separator/>
      </w:r>
    </w:p>
  </w:footnote>
  <w:footnote w:type="continuationSeparator" w:id="0">
    <w:p w:rsidR="00000000" w:rsidRDefault="00577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7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7E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7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15274"/>
    <w:multiLevelType w:val="hybridMultilevel"/>
    <w:tmpl w:val="0C28B498"/>
    <w:lvl w:ilvl="0" w:tplc="7772B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A0A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6419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682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AF3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D23D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2D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FED1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A440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83708"/>
    <w:multiLevelType w:val="hybridMultilevel"/>
    <w:tmpl w:val="64360438"/>
    <w:lvl w:ilvl="0" w:tplc="AD9490CE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D8BAFA2C" w:tentative="1">
      <w:start w:val="1"/>
      <w:numFmt w:val="lowerLetter"/>
      <w:lvlText w:val="%2."/>
      <w:lvlJc w:val="left"/>
      <w:pPr>
        <w:ind w:left="1440" w:hanging="360"/>
      </w:pPr>
    </w:lvl>
    <w:lvl w:ilvl="2" w:tplc="05620076" w:tentative="1">
      <w:start w:val="1"/>
      <w:numFmt w:val="lowerRoman"/>
      <w:lvlText w:val="%3."/>
      <w:lvlJc w:val="right"/>
      <w:pPr>
        <w:ind w:left="2160" w:hanging="180"/>
      </w:pPr>
    </w:lvl>
    <w:lvl w:ilvl="3" w:tplc="0762BAE0" w:tentative="1">
      <w:start w:val="1"/>
      <w:numFmt w:val="decimal"/>
      <w:lvlText w:val="%4."/>
      <w:lvlJc w:val="left"/>
      <w:pPr>
        <w:ind w:left="2880" w:hanging="360"/>
      </w:pPr>
    </w:lvl>
    <w:lvl w:ilvl="4" w:tplc="9E800D84" w:tentative="1">
      <w:start w:val="1"/>
      <w:numFmt w:val="lowerLetter"/>
      <w:lvlText w:val="%5."/>
      <w:lvlJc w:val="left"/>
      <w:pPr>
        <w:ind w:left="3600" w:hanging="360"/>
      </w:pPr>
    </w:lvl>
    <w:lvl w:ilvl="5" w:tplc="C45A666E" w:tentative="1">
      <w:start w:val="1"/>
      <w:numFmt w:val="lowerRoman"/>
      <w:lvlText w:val="%6."/>
      <w:lvlJc w:val="right"/>
      <w:pPr>
        <w:ind w:left="4320" w:hanging="180"/>
      </w:pPr>
    </w:lvl>
    <w:lvl w:ilvl="6" w:tplc="1DDCC3DC" w:tentative="1">
      <w:start w:val="1"/>
      <w:numFmt w:val="decimal"/>
      <w:lvlText w:val="%7."/>
      <w:lvlJc w:val="left"/>
      <w:pPr>
        <w:ind w:left="5040" w:hanging="360"/>
      </w:pPr>
    </w:lvl>
    <w:lvl w:ilvl="7" w:tplc="4A02C4C4" w:tentative="1">
      <w:start w:val="1"/>
      <w:numFmt w:val="lowerLetter"/>
      <w:lvlText w:val="%8."/>
      <w:lvlJc w:val="left"/>
      <w:pPr>
        <w:ind w:left="5760" w:hanging="360"/>
      </w:pPr>
    </w:lvl>
    <w:lvl w:ilvl="8" w:tplc="3F8652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40"/>
    <w:rsid w:val="00577E6B"/>
    <w:rsid w:val="00D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1BFB21-665F-4ED8-92F7-27F2875A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43D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3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3D5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3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3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3459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SB01145 (Committee Report (Unamended))</vt:lpstr>
    </vt:vector>
  </TitlesOfParts>
  <Company>State of Texas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34636</dc:subject>
  <dc:creator>State of Texas</dc:creator>
  <dc:description>SB 1145 by Johnson-(H)Public Health</dc:description>
  <cp:lastModifiedBy>Scotty Wimberley</cp:lastModifiedBy>
  <cp:revision>2</cp:revision>
  <cp:lastPrinted>2003-11-26T17:21:00Z</cp:lastPrinted>
  <dcterms:created xsi:type="dcterms:W3CDTF">2019-05-16T22:30:00Z</dcterms:created>
  <dcterms:modified xsi:type="dcterms:W3CDTF">2019-05-16T22:30:00Z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19.136.549</vt:lpwstr>
  </property>
</Properties>
</file>