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D16AFF" w:rsidTr="00345119">
        <w:tc>
          <w:tcPr>
            <w:tcW w:w="9576" w:type="dxa"/>
            <w:noWrap/>
          </w:tcPr>
          <w:p w:rsidR="008423E4" w:rsidRPr="0022177D" w:rsidRDefault="00BB0E84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BB0E84" w:rsidP="008423E4">
      <w:pPr>
        <w:jc w:val="center"/>
      </w:pPr>
    </w:p>
    <w:p w:rsidR="008423E4" w:rsidRPr="00B31F0E" w:rsidRDefault="00BB0E84" w:rsidP="008423E4"/>
    <w:p w:rsidR="008423E4" w:rsidRPr="00742794" w:rsidRDefault="00BB0E8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16AFF" w:rsidTr="00345119">
        <w:tc>
          <w:tcPr>
            <w:tcW w:w="9576" w:type="dxa"/>
          </w:tcPr>
          <w:p w:rsidR="008423E4" w:rsidRPr="00861995" w:rsidRDefault="00BB0E84" w:rsidP="00345119">
            <w:pPr>
              <w:jc w:val="right"/>
            </w:pPr>
            <w:r>
              <w:t>C.S.S.B. 1152</w:t>
            </w:r>
          </w:p>
        </w:tc>
      </w:tr>
      <w:tr w:rsidR="00D16AFF" w:rsidTr="00345119">
        <w:tc>
          <w:tcPr>
            <w:tcW w:w="9576" w:type="dxa"/>
          </w:tcPr>
          <w:p w:rsidR="008423E4" w:rsidRPr="00861995" w:rsidRDefault="00BB0E84" w:rsidP="007537E9">
            <w:pPr>
              <w:jc w:val="right"/>
            </w:pPr>
            <w:r>
              <w:t xml:space="preserve">By: </w:t>
            </w:r>
            <w:r>
              <w:t>Hancock</w:t>
            </w:r>
          </w:p>
        </w:tc>
      </w:tr>
      <w:tr w:rsidR="00D16AFF" w:rsidTr="00345119">
        <w:tc>
          <w:tcPr>
            <w:tcW w:w="9576" w:type="dxa"/>
          </w:tcPr>
          <w:p w:rsidR="008423E4" w:rsidRPr="00861995" w:rsidRDefault="00BB0E84" w:rsidP="00345119">
            <w:pPr>
              <w:jc w:val="right"/>
            </w:pPr>
            <w:r>
              <w:t>State Affairs</w:t>
            </w:r>
          </w:p>
        </w:tc>
      </w:tr>
      <w:tr w:rsidR="00D16AFF" w:rsidTr="00345119">
        <w:tc>
          <w:tcPr>
            <w:tcW w:w="9576" w:type="dxa"/>
          </w:tcPr>
          <w:p w:rsidR="008423E4" w:rsidRDefault="00BB0E84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BB0E84" w:rsidP="008423E4">
      <w:pPr>
        <w:tabs>
          <w:tab w:val="right" w:pos="9360"/>
        </w:tabs>
      </w:pPr>
    </w:p>
    <w:p w:rsidR="008423E4" w:rsidRDefault="00BB0E84" w:rsidP="008423E4"/>
    <w:p w:rsidR="008423E4" w:rsidRDefault="00BB0E8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D16AFF" w:rsidTr="00345119">
        <w:tc>
          <w:tcPr>
            <w:tcW w:w="9576" w:type="dxa"/>
          </w:tcPr>
          <w:p w:rsidR="008423E4" w:rsidRPr="00A8133F" w:rsidRDefault="00BB0E84" w:rsidP="0030377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Pr="0070466F" w:rsidRDefault="00BB0E84" w:rsidP="00303774">
            <w:pPr>
              <w:rPr>
                <w:sz w:val="22"/>
              </w:rPr>
            </w:pPr>
          </w:p>
          <w:p w:rsidR="008423E4" w:rsidRDefault="00BB0E84" w:rsidP="00303774">
            <w:pPr>
              <w:pStyle w:val="Header"/>
              <w:jc w:val="both"/>
            </w:pPr>
            <w:r>
              <w:t>It has been asserted that state law unfairly requires a telecommunications provider that sends telephone calls and cable television</w:t>
            </w:r>
            <w:r>
              <w:t xml:space="preserve"> or video</w:t>
            </w:r>
            <w:r>
              <w:t xml:space="preserve"> signal over the same line in a </w:t>
            </w:r>
            <w:r>
              <w:t>municipality</w:t>
            </w:r>
            <w:r>
              <w:t>'s right</w:t>
            </w:r>
            <w:r>
              <w:noBreakHyphen/>
            </w:r>
            <w:r>
              <w:t>of</w:t>
            </w:r>
            <w:r>
              <w:t>-</w:t>
            </w:r>
            <w:r>
              <w:t xml:space="preserve">way </w:t>
            </w:r>
            <w:r>
              <w:t xml:space="preserve">to </w:t>
            </w:r>
            <w:r>
              <w:t xml:space="preserve">pay twice for the same line in the same right-of-way. </w:t>
            </w:r>
            <w:r>
              <w:t>C.S.</w:t>
            </w:r>
            <w:r>
              <w:t>S</w:t>
            </w:r>
            <w:r>
              <w:t xml:space="preserve">.B. </w:t>
            </w:r>
            <w:r>
              <w:t xml:space="preserve">1152 </w:t>
            </w:r>
            <w:r>
              <w:t xml:space="preserve">seeks to remove the burden of double </w:t>
            </w:r>
            <w:r>
              <w:t>payment</w:t>
            </w:r>
            <w:r>
              <w:t xml:space="preserve"> and require </w:t>
            </w:r>
            <w:r>
              <w:t xml:space="preserve">such a </w:t>
            </w:r>
            <w:r>
              <w:t xml:space="preserve">provider to pay the </w:t>
            </w:r>
            <w:r>
              <w:t xml:space="preserve">municipality </w:t>
            </w:r>
            <w:r>
              <w:t>only the greater of</w:t>
            </w:r>
            <w:r>
              <w:t xml:space="preserve"> the two </w:t>
            </w:r>
            <w:r>
              <w:t xml:space="preserve">sums due </w:t>
            </w:r>
            <w:r>
              <w:t>for use of the right</w:t>
            </w:r>
            <w:r>
              <w:t>-</w:t>
            </w:r>
            <w:r>
              <w:t>of</w:t>
            </w:r>
            <w:r>
              <w:t>-</w:t>
            </w:r>
            <w:r>
              <w:t>way</w:t>
            </w:r>
            <w:r>
              <w:t>.</w:t>
            </w:r>
          </w:p>
          <w:p w:rsidR="008423E4" w:rsidRPr="00E26B13" w:rsidRDefault="00BB0E84" w:rsidP="00303774">
            <w:pPr>
              <w:rPr>
                <w:b/>
              </w:rPr>
            </w:pPr>
          </w:p>
        </w:tc>
      </w:tr>
      <w:tr w:rsidR="00D16AFF" w:rsidTr="00345119">
        <w:tc>
          <w:tcPr>
            <w:tcW w:w="9576" w:type="dxa"/>
          </w:tcPr>
          <w:p w:rsidR="0017725B" w:rsidRDefault="00BB0E84" w:rsidP="003037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BB0E84" w:rsidP="00303774">
            <w:pPr>
              <w:rPr>
                <w:b/>
                <w:u w:val="single"/>
              </w:rPr>
            </w:pPr>
          </w:p>
          <w:p w:rsidR="00AF3A86" w:rsidRPr="00AF3A86" w:rsidRDefault="00BB0E84" w:rsidP="00303774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</w:t>
            </w:r>
            <w:r>
              <w:t xml:space="preserve"> the eligibility of a person for community supervision, parole, or mandatory supervision.</w:t>
            </w:r>
          </w:p>
          <w:p w:rsidR="0017725B" w:rsidRPr="0017725B" w:rsidRDefault="00BB0E84" w:rsidP="00303774">
            <w:pPr>
              <w:rPr>
                <w:b/>
                <w:u w:val="single"/>
              </w:rPr>
            </w:pPr>
          </w:p>
        </w:tc>
      </w:tr>
      <w:tr w:rsidR="00D16AFF" w:rsidTr="00345119">
        <w:tc>
          <w:tcPr>
            <w:tcW w:w="9576" w:type="dxa"/>
          </w:tcPr>
          <w:p w:rsidR="008423E4" w:rsidRPr="00A8133F" w:rsidRDefault="00BB0E84" w:rsidP="0030377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Pr="0070466F" w:rsidRDefault="00BB0E84" w:rsidP="00303774">
            <w:pPr>
              <w:rPr>
                <w:sz w:val="22"/>
              </w:rPr>
            </w:pPr>
          </w:p>
          <w:p w:rsidR="00AF3A86" w:rsidRDefault="00BB0E84" w:rsidP="003037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</w:t>
            </w:r>
            <w:r>
              <w:t>agency, or institution.</w:t>
            </w:r>
          </w:p>
          <w:p w:rsidR="008423E4" w:rsidRPr="00E21FDC" w:rsidRDefault="00BB0E84" w:rsidP="00303774">
            <w:pPr>
              <w:rPr>
                <w:b/>
              </w:rPr>
            </w:pPr>
          </w:p>
        </w:tc>
      </w:tr>
      <w:tr w:rsidR="00D16AFF" w:rsidTr="00345119">
        <w:tc>
          <w:tcPr>
            <w:tcW w:w="9576" w:type="dxa"/>
          </w:tcPr>
          <w:p w:rsidR="008423E4" w:rsidRPr="00A8133F" w:rsidRDefault="00BB0E84" w:rsidP="0030377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Pr="0070466F" w:rsidRDefault="00BB0E84" w:rsidP="00303774">
            <w:pPr>
              <w:rPr>
                <w:sz w:val="22"/>
              </w:rPr>
            </w:pPr>
          </w:p>
          <w:p w:rsidR="00E50BC0" w:rsidRDefault="00BB0E84" w:rsidP="003037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>S</w:t>
            </w:r>
            <w:r>
              <w:t xml:space="preserve">.B. </w:t>
            </w:r>
            <w:r>
              <w:t xml:space="preserve">1152 </w:t>
            </w:r>
            <w:r>
              <w:t xml:space="preserve">amends the Local Government Code to </w:t>
            </w:r>
            <w:r>
              <w:t>exempt</w:t>
            </w:r>
            <w:r>
              <w:t xml:space="preserve"> a certificated </w:t>
            </w:r>
            <w:r w:rsidRPr="00D5704D">
              <w:t xml:space="preserve">telecommunications provider </w:t>
            </w:r>
            <w:r>
              <w:t>from the</w:t>
            </w:r>
            <w:r w:rsidRPr="00D5704D">
              <w:t xml:space="preserve"> require</w:t>
            </w:r>
            <w:r>
              <w:t>ment</w:t>
            </w:r>
            <w:r w:rsidRPr="00D5704D">
              <w:t xml:space="preserve"> to pay any compensation to a municipality for use of the</w:t>
            </w:r>
            <w:r>
              <w:t xml:space="preserve"> municipality's</w:t>
            </w:r>
            <w:r w:rsidRPr="00D5704D">
              <w:t xml:space="preserve"> public rights-of-way for a</w:t>
            </w:r>
            <w:r w:rsidRPr="00D5704D">
              <w:t xml:space="preserve"> given</w:t>
            </w:r>
            <w:r>
              <w:t xml:space="preserve"> calendar</w:t>
            </w:r>
            <w:r w:rsidRPr="00D5704D">
              <w:t xml:space="preserve"> year if the provider determines that the sum of the compensation due from the provider and any member of the provider's affiliated group to all municipalities in </w:t>
            </w:r>
            <w:r>
              <w:t>Texas</w:t>
            </w:r>
            <w:r w:rsidRPr="00D5704D">
              <w:t xml:space="preserve"> </w:t>
            </w:r>
            <w:r>
              <w:t>from those</w:t>
            </w:r>
            <w:r>
              <w:t xml:space="preserve"> fee</w:t>
            </w:r>
            <w:r>
              <w:t>s</w:t>
            </w:r>
            <w:r w:rsidRPr="00D5704D">
              <w:t xml:space="preserve"> is less than the sum of the fees due from the provider a</w:t>
            </w:r>
            <w:r w:rsidRPr="00D5704D">
              <w:t>nd any member of the provider's affiliated group</w:t>
            </w:r>
            <w:r>
              <w:t>, as defined by the bill,</w:t>
            </w:r>
            <w:r w:rsidRPr="00D5704D">
              <w:t xml:space="preserve"> to all municipalities in </w:t>
            </w:r>
            <w:r>
              <w:t>Texas</w:t>
            </w:r>
            <w:r w:rsidRPr="00D5704D">
              <w:t xml:space="preserve"> </w:t>
            </w:r>
            <w:r>
              <w:t>from the</w:t>
            </w:r>
            <w:r>
              <w:t xml:space="preserve"> franchise fee for state-issued cable and video franchise</w:t>
            </w:r>
            <w:r w:rsidRPr="00D5704D">
              <w:t xml:space="preserve">. The </w:t>
            </w:r>
            <w:r>
              <w:t xml:space="preserve">bill </w:t>
            </w:r>
            <w:r>
              <w:t xml:space="preserve">sets out provisions related to that </w:t>
            </w:r>
            <w:r w:rsidRPr="00D5704D">
              <w:t xml:space="preserve">determination. </w:t>
            </w:r>
            <w:r>
              <w:t>The</w:t>
            </w:r>
            <w:r>
              <w:t>se provisions prevail</w:t>
            </w:r>
            <w:r>
              <w:t xml:space="preserve"> </w:t>
            </w:r>
            <w:r>
              <w:t>i</w:t>
            </w:r>
            <w:r w:rsidRPr="00D5704D">
              <w:t xml:space="preserve">n the case of a conflict </w:t>
            </w:r>
            <w:r>
              <w:t>with</w:t>
            </w:r>
            <w:r w:rsidRPr="00D5704D">
              <w:t xml:space="preserve"> </w:t>
            </w:r>
            <w:r>
              <w:t xml:space="preserve">statutory provisions relating to determination of right-of-way fees by </w:t>
            </w:r>
            <w:r w:rsidRPr="00D5704D">
              <w:t>the Public Utility Commission of Texas</w:t>
            </w:r>
            <w:r>
              <w:t xml:space="preserve"> (PUC)</w:t>
            </w:r>
            <w:r>
              <w:t xml:space="preserve"> and expressly</w:t>
            </w:r>
            <w:r>
              <w:t xml:space="preserve"> do not exempt a provider from paying compensation to a municipality if the provider is not required</w:t>
            </w:r>
            <w:r>
              <w:t xml:space="preserve"> under state or federal law</w:t>
            </w:r>
            <w:r>
              <w:t xml:space="preserve"> to pay </w:t>
            </w:r>
            <w:r>
              <w:t>a</w:t>
            </w:r>
            <w:r>
              <w:t xml:space="preserve"> franchise fee </w:t>
            </w:r>
            <w:r>
              <w:t xml:space="preserve">for state-issued cable and video franchise </w:t>
            </w:r>
            <w:r>
              <w:t xml:space="preserve">to that municipality. That clarification applies only to such </w:t>
            </w:r>
            <w:r>
              <w:t xml:space="preserve">a municipality and does not limit the application of the exemption to any other municipality. </w:t>
            </w:r>
          </w:p>
          <w:p w:rsidR="00E50BC0" w:rsidRDefault="00BB0E84" w:rsidP="003037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8423E4" w:rsidRDefault="00BB0E84" w:rsidP="003037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>S</w:t>
            </w:r>
            <w:r>
              <w:t xml:space="preserve">.B. </w:t>
            </w:r>
            <w:r>
              <w:t xml:space="preserve">1152 </w:t>
            </w:r>
            <w:r>
              <w:t>requires a provider to file, not later than October 1 of each year, an annual written notification with each municipality in which the provider pr</w:t>
            </w:r>
            <w:r>
              <w:t xml:space="preserve">ovides telecommunications services of the provider's requirement to pay compensation </w:t>
            </w:r>
            <w:r>
              <w:t xml:space="preserve">to the given municipality </w:t>
            </w:r>
            <w:r>
              <w:t xml:space="preserve">or </w:t>
            </w:r>
            <w:r>
              <w:t xml:space="preserve">the provider's </w:t>
            </w:r>
            <w:r>
              <w:t xml:space="preserve">exemption from </w:t>
            </w:r>
            <w:r>
              <w:t>that</w:t>
            </w:r>
            <w:r>
              <w:t xml:space="preserve"> requirement for the following calendar</w:t>
            </w:r>
            <w:r>
              <w:t xml:space="preserve"> year</w:t>
            </w:r>
            <w:r>
              <w:t>.</w:t>
            </w:r>
          </w:p>
          <w:p w:rsidR="00D5704D" w:rsidRPr="0070466F" w:rsidRDefault="00BB0E84" w:rsidP="0030377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</w:rPr>
            </w:pPr>
          </w:p>
          <w:p w:rsidR="006954FE" w:rsidRPr="006954FE" w:rsidRDefault="00BB0E84" w:rsidP="003037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>S</w:t>
            </w:r>
            <w:r>
              <w:t xml:space="preserve">.B. </w:t>
            </w:r>
            <w:r>
              <w:t xml:space="preserve">1152 </w:t>
            </w:r>
            <w:r>
              <w:t xml:space="preserve">amends the Utilities Code to </w:t>
            </w:r>
            <w:r>
              <w:t>exempt the</w:t>
            </w:r>
            <w:r>
              <w:t xml:space="preserve"> </w:t>
            </w:r>
            <w:r w:rsidRPr="00D5704D">
              <w:t xml:space="preserve">holder </w:t>
            </w:r>
            <w:r w:rsidRPr="00D5704D">
              <w:t xml:space="preserve">of a state-issued certificate of franchise authority </w:t>
            </w:r>
            <w:r>
              <w:t>from</w:t>
            </w:r>
            <w:r w:rsidRPr="00D5704D">
              <w:t xml:space="preserve"> the </w:t>
            </w:r>
            <w:r>
              <w:t xml:space="preserve">franchise </w:t>
            </w:r>
            <w:r w:rsidRPr="00D5704D">
              <w:t xml:space="preserve">fee imposed </w:t>
            </w:r>
            <w:r>
              <w:t xml:space="preserve">for state-issued cable and video franchise </w:t>
            </w:r>
            <w:r w:rsidRPr="00D5704D">
              <w:t>for a given</w:t>
            </w:r>
            <w:r>
              <w:t xml:space="preserve"> calendar</w:t>
            </w:r>
            <w:r w:rsidRPr="00D5704D">
              <w:t xml:space="preserve"> year if the holder determines that the sum of fees due from the holder and any member of the holder's affili</w:t>
            </w:r>
            <w:r w:rsidRPr="00D5704D">
              <w:t xml:space="preserve">ated group to all municipalities in </w:t>
            </w:r>
            <w:r>
              <w:t>Texas</w:t>
            </w:r>
            <w:r w:rsidRPr="00D5704D">
              <w:t xml:space="preserve"> </w:t>
            </w:r>
            <w:r>
              <w:t>from</w:t>
            </w:r>
            <w:r w:rsidRPr="00D5704D">
              <w:t xml:space="preserve"> </w:t>
            </w:r>
            <w:r>
              <w:t>that fee</w:t>
            </w:r>
            <w:r w:rsidRPr="00D5704D">
              <w:t xml:space="preserve"> is less than the sum of the compensation due from the holder and any member of the holder's affiliated group to all municipalities in </w:t>
            </w:r>
            <w:r>
              <w:t>Texas</w:t>
            </w:r>
            <w:r w:rsidRPr="00D5704D">
              <w:t xml:space="preserve"> </w:t>
            </w:r>
            <w:r>
              <w:t>from</w:t>
            </w:r>
            <w:r>
              <w:t xml:space="preserve"> right-of-way fees</w:t>
            </w:r>
            <w:r w:rsidRPr="00D5704D">
              <w:t>. The</w:t>
            </w:r>
            <w:r>
              <w:t xml:space="preserve"> bill </w:t>
            </w:r>
            <w:r>
              <w:t>sets out provisions related</w:t>
            </w:r>
            <w:r>
              <w:t xml:space="preserve"> to that</w:t>
            </w:r>
            <w:r w:rsidRPr="00D5704D">
              <w:t xml:space="preserve"> determination. </w:t>
            </w:r>
            <w:r>
              <w:t>The</w:t>
            </w:r>
            <w:r>
              <w:t xml:space="preserve">se provisions prevail </w:t>
            </w:r>
            <w:r>
              <w:t>i</w:t>
            </w:r>
            <w:r w:rsidRPr="00D5704D">
              <w:t xml:space="preserve">n the case of a conflict </w:t>
            </w:r>
            <w:r>
              <w:t>with</w:t>
            </w:r>
            <w:r>
              <w:t xml:space="preserve"> Local Government Code provisions </w:t>
            </w:r>
            <w:r w:rsidRPr="00AF3A86">
              <w:t>relating to determination of right-of-way fees by the</w:t>
            </w:r>
            <w:r>
              <w:t xml:space="preserve"> PUC</w:t>
            </w:r>
            <w:r>
              <w:t xml:space="preserve"> and expressly</w:t>
            </w:r>
            <w:r>
              <w:t xml:space="preserve"> do not exempt a </w:t>
            </w:r>
            <w:r>
              <w:t xml:space="preserve">certificate </w:t>
            </w:r>
            <w:r>
              <w:t xml:space="preserve">holder from paying </w:t>
            </w:r>
            <w:r>
              <w:t>the</w:t>
            </w:r>
            <w:r>
              <w:t xml:space="preserve"> franchise fee to a municipality if the holder is not required to </w:t>
            </w:r>
            <w:r>
              <w:t xml:space="preserve">pay compensation </w:t>
            </w:r>
            <w:r w:rsidRPr="00125858">
              <w:t xml:space="preserve">to </w:t>
            </w:r>
            <w:r>
              <w:t>that</w:t>
            </w:r>
            <w:r w:rsidRPr="00125858">
              <w:t xml:space="preserve"> municipality for use of th</w:t>
            </w:r>
            <w:r>
              <w:t>e</w:t>
            </w:r>
            <w:r w:rsidRPr="00125858">
              <w:t xml:space="preserve"> municipality's public rights</w:t>
            </w:r>
            <w:r>
              <w:noBreakHyphen/>
            </w:r>
            <w:r w:rsidRPr="00125858">
              <w:t>of</w:t>
            </w:r>
            <w:r>
              <w:noBreakHyphen/>
            </w:r>
            <w:r w:rsidRPr="00125858">
              <w:t>way</w:t>
            </w:r>
            <w:r>
              <w:t xml:space="preserve">. </w:t>
            </w:r>
            <w:r w:rsidRPr="00E50BC0">
              <w:t>That clarification applies only to such a municipality and does not limit the application of the exe</w:t>
            </w:r>
            <w:r w:rsidRPr="00E50BC0">
              <w:t>mption to any other municipality.</w:t>
            </w:r>
            <w:r>
              <w:t xml:space="preserve"> </w:t>
            </w:r>
            <w:r w:rsidRPr="006954FE">
              <w:t>These provisions expressly do not affect the application to any holder of a state-issued certificate of franchise authority of statutory provisions relating to in-kind contributions to a municipality and public, education</w:t>
            </w:r>
            <w:r>
              <w:t>a</w:t>
            </w:r>
            <w:r>
              <w:t>l</w:t>
            </w:r>
            <w:r w:rsidRPr="006954FE">
              <w:t>, and governmental access channels.</w:t>
            </w:r>
          </w:p>
          <w:p w:rsidR="00E50BC0" w:rsidRDefault="00BB0E84" w:rsidP="003037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D5704D" w:rsidRDefault="00BB0E84" w:rsidP="003037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>S</w:t>
            </w:r>
            <w:r>
              <w:t xml:space="preserve">.B. </w:t>
            </w:r>
            <w:r>
              <w:t xml:space="preserve">1152 </w:t>
            </w:r>
            <w:r>
              <w:t>requires a</w:t>
            </w:r>
            <w:r w:rsidRPr="00125858">
              <w:t xml:space="preserve"> holder to file, not later than October 1 of each year, an annual written notification with each municipality in which the </w:t>
            </w:r>
            <w:r>
              <w:t>holder</w:t>
            </w:r>
            <w:r w:rsidRPr="00125858">
              <w:t xml:space="preserve"> provides </w:t>
            </w:r>
            <w:r>
              <w:t>cable or video</w:t>
            </w:r>
            <w:r w:rsidRPr="00125858">
              <w:t xml:space="preserve"> services of the </w:t>
            </w:r>
            <w:r>
              <w:t>holder</w:t>
            </w:r>
            <w:r w:rsidRPr="00125858">
              <w:t xml:space="preserve">'s requirement to </w:t>
            </w:r>
            <w:r w:rsidRPr="00125858">
              <w:t xml:space="preserve">pay </w:t>
            </w:r>
            <w:r>
              <w:t>the franchise fee</w:t>
            </w:r>
            <w:r w:rsidRPr="00125858">
              <w:t xml:space="preserve"> </w:t>
            </w:r>
            <w:r>
              <w:t xml:space="preserve">to the given municipality </w:t>
            </w:r>
            <w:r w:rsidRPr="00125858">
              <w:t xml:space="preserve">or </w:t>
            </w:r>
            <w:r>
              <w:t xml:space="preserve">the holder's </w:t>
            </w:r>
            <w:r w:rsidRPr="00125858">
              <w:t xml:space="preserve">exemption from </w:t>
            </w:r>
            <w:r>
              <w:t>that</w:t>
            </w:r>
            <w:r w:rsidRPr="00125858">
              <w:t xml:space="preserve"> requirement for the following calendar</w:t>
            </w:r>
            <w:r>
              <w:t xml:space="preserve"> year</w:t>
            </w:r>
            <w:r w:rsidRPr="00125858">
              <w:t>.</w:t>
            </w:r>
          </w:p>
          <w:p w:rsidR="00125858" w:rsidRDefault="00BB0E84" w:rsidP="003037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125858" w:rsidRDefault="00BB0E84" w:rsidP="003037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changes </w:t>
            </w:r>
            <w:r>
              <w:t xml:space="preserve">in </w:t>
            </w:r>
            <w:r>
              <w:t xml:space="preserve">law made by </w:t>
            </w:r>
            <w:r>
              <w:t>C.S.</w:t>
            </w:r>
            <w:r>
              <w:t>S</w:t>
            </w:r>
            <w:r>
              <w:t xml:space="preserve">.B. </w:t>
            </w:r>
            <w:r>
              <w:t xml:space="preserve">1152 </w:t>
            </w:r>
            <w:r>
              <w:t>appl</w:t>
            </w:r>
            <w:r>
              <w:t>y</w:t>
            </w:r>
            <w:r>
              <w:t xml:space="preserve"> only to a payment made on or after January 1, 2020. The bill requires a determi</w:t>
            </w:r>
            <w:r>
              <w:t>nation of compensation or fees under the bill's provisions for the year 2020 to be based on amounts actually paid between July 1, 2</w:t>
            </w:r>
            <w:r>
              <w:t>0</w:t>
            </w:r>
            <w:r>
              <w:t>18, and June 30, 2019.</w:t>
            </w:r>
          </w:p>
          <w:p w:rsidR="008423E4" w:rsidRPr="00835628" w:rsidRDefault="00BB0E84" w:rsidP="00303774">
            <w:pPr>
              <w:rPr>
                <w:b/>
              </w:rPr>
            </w:pPr>
          </w:p>
        </w:tc>
      </w:tr>
      <w:tr w:rsidR="00D16AFF" w:rsidTr="00345119">
        <w:tc>
          <w:tcPr>
            <w:tcW w:w="9576" w:type="dxa"/>
          </w:tcPr>
          <w:p w:rsidR="008423E4" w:rsidRPr="00A8133F" w:rsidRDefault="00BB0E84" w:rsidP="0030377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BB0E84" w:rsidP="00303774"/>
          <w:p w:rsidR="008423E4" w:rsidRDefault="00BB0E84" w:rsidP="003037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D509CA" w:rsidRPr="00233FDB" w:rsidRDefault="00BB0E84" w:rsidP="003037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D16AFF" w:rsidTr="00345119">
        <w:tc>
          <w:tcPr>
            <w:tcW w:w="9576" w:type="dxa"/>
          </w:tcPr>
          <w:p w:rsidR="007537E9" w:rsidRDefault="00BB0E84" w:rsidP="007537E9">
            <w:pPr>
              <w:spacing w:before="120"/>
              <w:contextualSpacing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:rsidR="004F28E1" w:rsidRDefault="00BB0E84" w:rsidP="007537E9">
            <w:pPr>
              <w:spacing w:before="120"/>
              <w:contextualSpacing/>
              <w:jc w:val="both"/>
              <w:rPr>
                <w:b/>
                <w:u w:val="single"/>
              </w:rPr>
            </w:pPr>
          </w:p>
          <w:p w:rsidR="00E76E24" w:rsidRDefault="00BB0E84" w:rsidP="00E76E24">
            <w:pPr>
              <w:contextualSpacing/>
              <w:jc w:val="both"/>
            </w:pPr>
            <w:r>
              <w:t>While C.S.S.B.</w:t>
            </w:r>
            <w:r>
              <w:t xml:space="preserve"> 1152 may differ from the engrossed in minor or nonsubstantive ways, the following summarizes the substantial differences between the engrossed and committee substitute versions of the bill.</w:t>
            </w:r>
          </w:p>
          <w:p w:rsidR="00E76E24" w:rsidRDefault="00BB0E84" w:rsidP="00E76E24">
            <w:pPr>
              <w:contextualSpacing/>
              <w:jc w:val="both"/>
            </w:pPr>
          </w:p>
          <w:p w:rsidR="00E76E24" w:rsidRDefault="00BB0E84" w:rsidP="00E76E24">
            <w:pPr>
              <w:spacing w:before="120"/>
              <w:contextualSpacing/>
              <w:jc w:val="both"/>
            </w:pPr>
            <w:r>
              <w:t xml:space="preserve">The substitute clarifies that the exemptions apply with respect </w:t>
            </w:r>
            <w:r>
              <w:t xml:space="preserve">to a given calendar year and specifies that the determinations of compensation or fees due for a year are based on applicable figures from the 12-month period ending June 30 of the immediately preceding calendar year. </w:t>
            </w:r>
          </w:p>
          <w:p w:rsidR="00E76E24" w:rsidRDefault="00BB0E84" w:rsidP="00E76E24">
            <w:pPr>
              <w:spacing w:before="120"/>
              <w:contextualSpacing/>
              <w:jc w:val="both"/>
            </w:pPr>
          </w:p>
          <w:p w:rsidR="00E76E24" w:rsidRDefault="00BB0E84" w:rsidP="00E76E24">
            <w:pPr>
              <w:spacing w:before="120"/>
              <w:contextualSpacing/>
              <w:jc w:val="both"/>
            </w:pPr>
            <w:r>
              <w:t>The substitute includes provisions c</w:t>
            </w:r>
            <w:r>
              <w:t xml:space="preserve">larifying the applicability of the exemptions and provisions subjecting certificated telecommunications providers and </w:t>
            </w:r>
            <w:r w:rsidRPr="00D5704D">
              <w:t>holder</w:t>
            </w:r>
            <w:r>
              <w:t>s</w:t>
            </w:r>
            <w:r w:rsidRPr="00D5704D">
              <w:t xml:space="preserve"> of state-issued certificate</w:t>
            </w:r>
            <w:r>
              <w:t>s</w:t>
            </w:r>
            <w:r w:rsidRPr="00D5704D">
              <w:t xml:space="preserve"> of franchise authority</w:t>
            </w:r>
            <w:r>
              <w:t>, respectively, to applicable annual notification requirements, and providing f</w:t>
            </w:r>
            <w:r>
              <w:t>or the applicability of statutory provisions relating to in-kind contributions to a municipality and public, educational, and governmental access channels.</w:t>
            </w:r>
          </w:p>
          <w:p w:rsidR="00E76E24" w:rsidRDefault="00BB0E84" w:rsidP="00E76E24">
            <w:pPr>
              <w:spacing w:before="120"/>
              <w:contextualSpacing/>
              <w:jc w:val="both"/>
            </w:pPr>
          </w:p>
          <w:p w:rsidR="00E76E24" w:rsidRDefault="00BB0E84" w:rsidP="00E76E24">
            <w:pPr>
              <w:spacing w:before="120"/>
              <w:contextualSpacing/>
              <w:jc w:val="both"/>
            </w:pPr>
            <w:r>
              <w:t>The substitute includes a transition provision providing for the determination of compensation or f</w:t>
            </w:r>
            <w:r>
              <w:t>ees for the year 2020.</w:t>
            </w:r>
          </w:p>
          <w:p w:rsidR="00E76E24" w:rsidRDefault="00BB0E84" w:rsidP="00E76E24">
            <w:pPr>
              <w:spacing w:before="120"/>
              <w:contextualSpacing/>
              <w:jc w:val="both"/>
            </w:pPr>
          </w:p>
          <w:p w:rsidR="00E76E24" w:rsidRPr="007537E9" w:rsidRDefault="00BB0E84" w:rsidP="00E76E24">
            <w:pPr>
              <w:spacing w:before="120"/>
              <w:contextualSpacing/>
              <w:jc w:val="both"/>
              <w:rPr>
                <w:b/>
                <w:u w:val="single"/>
              </w:rPr>
            </w:pPr>
            <w:r>
              <w:t>The substitute changes the applicability of the bill's provisions from a payment made on or after the bill's effective date to a payment made on or after January 1, 2020.</w:t>
            </w:r>
          </w:p>
        </w:tc>
      </w:tr>
    </w:tbl>
    <w:p w:rsidR="004108C3" w:rsidRPr="0070466F" w:rsidRDefault="00BB0E84" w:rsidP="008423E4">
      <w:pPr>
        <w:rPr>
          <w:sz w:val="6"/>
        </w:rPr>
      </w:pPr>
    </w:p>
    <w:sectPr w:rsidR="004108C3" w:rsidRPr="0070466F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B0E84">
      <w:r>
        <w:separator/>
      </w:r>
    </w:p>
  </w:endnote>
  <w:endnote w:type="continuationSeparator" w:id="0">
    <w:p w:rsidR="00000000" w:rsidRDefault="00BB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B0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16AFF" w:rsidTr="009C1E9A">
      <w:trPr>
        <w:cantSplit/>
      </w:trPr>
      <w:tc>
        <w:tcPr>
          <w:tcW w:w="0" w:type="pct"/>
        </w:tcPr>
        <w:p w:rsidR="00137D90" w:rsidRDefault="00BB0E8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BB0E8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BB0E8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BB0E8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BB0E8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16AFF" w:rsidTr="009C1E9A">
      <w:trPr>
        <w:cantSplit/>
      </w:trPr>
      <w:tc>
        <w:tcPr>
          <w:tcW w:w="0" w:type="pct"/>
        </w:tcPr>
        <w:p w:rsidR="00EC379B" w:rsidRDefault="00BB0E8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BB0E8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28245</w:t>
          </w:r>
        </w:p>
      </w:tc>
      <w:tc>
        <w:tcPr>
          <w:tcW w:w="2453" w:type="pct"/>
        </w:tcPr>
        <w:p w:rsidR="00EC379B" w:rsidRDefault="00BB0E8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19.106.2011</w:t>
          </w:r>
          <w:r>
            <w:fldChar w:fldCharType="end"/>
          </w:r>
        </w:p>
      </w:tc>
    </w:tr>
    <w:tr w:rsidR="00D16AFF" w:rsidTr="009C1E9A">
      <w:trPr>
        <w:cantSplit/>
      </w:trPr>
      <w:tc>
        <w:tcPr>
          <w:tcW w:w="0" w:type="pct"/>
        </w:tcPr>
        <w:p w:rsidR="00EC379B" w:rsidRDefault="00BB0E8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BB0E8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24600</w:t>
          </w:r>
        </w:p>
      </w:tc>
      <w:tc>
        <w:tcPr>
          <w:tcW w:w="2453" w:type="pct"/>
        </w:tcPr>
        <w:p w:rsidR="00EC379B" w:rsidRDefault="00BB0E84" w:rsidP="006D504F">
          <w:pPr>
            <w:pStyle w:val="Footer"/>
            <w:rPr>
              <w:rStyle w:val="PageNumber"/>
            </w:rPr>
          </w:pPr>
        </w:p>
        <w:p w:rsidR="00EC379B" w:rsidRDefault="00BB0E8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16AFF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BB0E8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BB0E84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BB0E84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B0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B0E84">
      <w:r>
        <w:separator/>
      </w:r>
    </w:p>
  </w:footnote>
  <w:footnote w:type="continuationSeparator" w:id="0">
    <w:p w:rsidR="00000000" w:rsidRDefault="00BB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B0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B0E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B0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42E7"/>
    <w:multiLevelType w:val="hybridMultilevel"/>
    <w:tmpl w:val="A1C6CD80"/>
    <w:lvl w:ilvl="0" w:tplc="CDF00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E9C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2A37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EA3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03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86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E0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AD9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810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FF"/>
    <w:rsid w:val="00BB0E84"/>
    <w:rsid w:val="00D1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7E1D24-192D-4F0A-94C8-E08F76A8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570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70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704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7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704D"/>
    <w:rPr>
      <w:b/>
      <w:bCs/>
    </w:rPr>
  </w:style>
  <w:style w:type="paragraph" w:styleId="Revision">
    <w:name w:val="Revision"/>
    <w:hidden/>
    <w:uiPriority w:val="99"/>
    <w:semiHidden/>
    <w:rsid w:val="00891F6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F28E1"/>
    <w:pPr>
      <w:ind w:left="720"/>
      <w:contextualSpacing/>
    </w:pPr>
  </w:style>
  <w:style w:type="character" w:styleId="Hyperlink">
    <w:name w:val="Hyperlink"/>
    <w:basedOn w:val="DefaultParagraphFont"/>
    <w:unhideWhenUsed/>
    <w:rsid w:val="00502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5004</Characters>
  <Application>Microsoft Office Word</Application>
  <DocSecurity>4</DocSecurity>
  <Lines>102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SB01152 (Committee Report (Substituted))</vt:lpstr>
    </vt:vector>
  </TitlesOfParts>
  <Company>State of Texas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28245</dc:subject>
  <dc:creator>State of Texas</dc:creator>
  <dc:description>SB 1152 by Hancock-(H)State Affairs (Substitute Document Number: 86R 24600)</dc:description>
  <cp:lastModifiedBy>Scotty Wimberley</cp:lastModifiedBy>
  <cp:revision>2</cp:revision>
  <cp:lastPrinted>2019-04-12T23:34:00Z</cp:lastPrinted>
  <dcterms:created xsi:type="dcterms:W3CDTF">2019-04-18T01:16:00Z</dcterms:created>
  <dcterms:modified xsi:type="dcterms:W3CDTF">2019-04-18T01:16:00Z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19.106.2011</vt:lpwstr>
  </property>
</Properties>
</file>