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11B2A" w:rsidTr="00345119">
        <w:tc>
          <w:tcPr>
            <w:tcW w:w="9576" w:type="dxa"/>
            <w:noWrap/>
          </w:tcPr>
          <w:p w:rsidR="008423E4" w:rsidRPr="0022177D" w:rsidRDefault="00993A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3AF8" w:rsidP="008423E4">
      <w:pPr>
        <w:jc w:val="center"/>
      </w:pPr>
    </w:p>
    <w:p w:rsidR="008423E4" w:rsidRPr="00B31F0E" w:rsidRDefault="00993AF8" w:rsidP="008423E4"/>
    <w:p w:rsidR="008423E4" w:rsidRPr="00742794" w:rsidRDefault="00993A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1B2A" w:rsidTr="00345119">
        <w:tc>
          <w:tcPr>
            <w:tcW w:w="9576" w:type="dxa"/>
          </w:tcPr>
          <w:p w:rsidR="008423E4" w:rsidRPr="00861995" w:rsidRDefault="00993AF8" w:rsidP="00345119">
            <w:pPr>
              <w:jc w:val="right"/>
            </w:pPr>
            <w:r>
              <w:t>S.B. 1153</w:t>
            </w:r>
          </w:p>
        </w:tc>
      </w:tr>
      <w:tr w:rsidR="00C11B2A" w:rsidTr="00345119">
        <w:tc>
          <w:tcPr>
            <w:tcW w:w="9576" w:type="dxa"/>
          </w:tcPr>
          <w:p w:rsidR="008423E4" w:rsidRPr="00861995" w:rsidRDefault="00993AF8" w:rsidP="00086BAC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C11B2A" w:rsidTr="00345119">
        <w:tc>
          <w:tcPr>
            <w:tcW w:w="9576" w:type="dxa"/>
          </w:tcPr>
          <w:p w:rsidR="008423E4" w:rsidRPr="00861995" w:rsidRDefault="00993AF8" w:rsidP="00345119">
            <w:pPr>
              <w:jc w:val="right"/>
            </w:pPr>
            <w:r>
              <w:t>Insurance</w:t>
            </w:r>
          </w:p>
        </w:tc>
      </w:tr>
      <w:tr w:rsidR="00C11B2A" w:rsidTr="00345119">
        <w:tc>
          <w:tcPr>
            <w:tcW w:w="9576" w:type="dxa"/>
          </w:tcPr>
          <w:p w:rsidR="008423E4" w:rsidRDefault="00993AF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93AF8" w:rsidP="008423E4">
      <w:pPr>
        <w:tabs>
          <w:tab w:val="right" w:pos="9360"/>
        </w:tabs>
      </w:pPr>
    </w:p>
    <w:p w:rsidR="008423E4" w:rsidRDefault="00993AF8" w:rsidP="008423E4"/>
    <w:p w:rsidR="008423E4" w:rsidRDefault="00993AF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11B2A" w:rsidTr="00345119">
        <w:tc>
          <w:tcPr>
            <w:tcW w:w="9576" w:type="dxa"/>
          </w:tcPr>
          <w:p w:rsidR="008423E4" w:rsidRPr="00A8133F" w:rsidRDefault="00993AF8" w:rsidP="00405B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3AF8" w:rsidP="00405BFD"/>
          <w:p w:rsidR="002202EE" w:rsidRDefault="00993AF8" w:rsidP="00405BFD">
            <w:pPr>
              <w:pStyle w:val="Header"/>
              <w:jc w:val="both"/>
            </w:pPr>
            <w:r>
              <w:t xml:space="preserve">It has been noted that </w:t>
            </w:r>
            <w:r>
              <w:t>the Texas Life and Health Insurance Guaranty Association</w:t>
            </w:r>
            <w:r>
              <w:t xml:space="preserve"> </w:t>
            </w:r>
            <w:r>
              <w:t xml:space="preserve">covers </w:t>
            </w:r>
            <w:r>
              <w:t>insurance</w:t>
            </w:r>
            <w:r>
              <w:t xml:space="preserve"> claims</w:t>
            </w:r>
            <w:r>
              <w:t xml:space="preserve"> and annuity contracts </w:t>
            </w:r>
            <w:r>
              <w:t>of</w:t>
            </w:r>
            <w:r>
              <w:t xml:space="preserve"> certain</w:t>
            </w:r>
            <w:r>
              <w:t xml:space="preserve"> </w:t>
            </w:r>
            <w:r>
              <w:t>insolvent</w:t>
            </w:r>
            <w:r>
              <w:t xml:space="preserve"> insurance companies</w:t>
            </w:r>
            <w:r>
              <w:t xml:space="preserve">. </w:t>
            </w:r>
            <w:r>
              <w:t>S.B.</w:t>
            </w:r>
            <w:r>
              <w:t> </w:t>
            </w:r>
            <w:r>
              <w:t>1153</w:t>
            </w:r>
            <w:r>
              <w:t xml:space="preserve"> </w:t>
            </w:r>
            <w:r>
              <w:t>seeks</w:t>
            </w:r>
            <w:r>
              <w:t xml:space="preserve"> to</w:t>
            </w:r>
            <w:r>
              <w:t xml:space="preserve"> update and modernize certain provisions of</w:t>
            </w:r>
            <w:r>
              <w:t xml:space="preserve"> the Texas Life and Health Insurance Guaranty Association Act.</w:t>
            </w:r>
          </w:p>
          <w:p w:rsidR="008423E4" w:rsidRPr="00E26B13" w:rsidRDefault="00993AF8" w:rsidP="00405BFD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C11B2A" w:rsidTr="00345119">
        <w:tc>
          <w:tcPr>
            <w:tcW w:w="9576" w:type="dxa"/>
          </w:tcPr>
          <w:p w:rsidR="0017725B" w:rsidRDefault="00993AF8" w:rsidP="00405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93AF8" w:rsidP="00405BFD">
            <w:pPr>
              <w:rPr>
                <w:b/>
                <w:u w:val="single"/>
              </w:rPr>
            </w:pPr>
          </w:p>
          <w:p w:rsidR="000F4708" w:rsidRPr="000F4708" w:rsidRDefault="00993AF8" w:rsidP="00405BFD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93AF8" w:rsidP="00405BFD">
            <w:pPr>
              <w:rPr>
                <w:b/>
                <w:u w:val="single"/>
              </w:rPr>
            </w:pPr>
          </w:p>
        </w:tc>
      </w:tr>
      <w:tr w:rsidR="00C11B2A" w:rsidTr="00345119">
        <w:tc>
          <w:tcPr>
            <w:tcW w:w="9576" w:type="dxa"/>
          </w:tcPr>
          <w:p w:rsidR="008423E4" w:rsidRPr="00A8133F" w:rsidRDefault="00993AF8" w:rsidP="00405B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93AF8" w:rsidP="00405BFD"/>
          <w:p w:rsidR="000F4708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993AF8" w:rsidP="00405BFD">
            <w:pPr>
              <w:rPr>
                <w:b/>
              </w:rPr>
            </w:pPr>
          </w:p>
        </w:tc>
      </w:tr>
      <w:tr w:rsidR="00C11B2A" w:rsidTr="00345119">
        <w:tc>
          <w:tcPr>
            <w:tcW w:w="9576" w:type="dxa"/>
          </w:tcPr>
          <w:p w:rsidR="008423E4" w:rsidRPr="00A8133F" w:rsidRDefault="00993AF8" w:rsidP="00405B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93AF8" w:rsidP="00405BFD"/>
          <w:p w:rsidR="00693C25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1153</w:t>
            </w:r>
            <w:r>
              <w:t xml:space="preserve"> amends the Insurance Code </w:t>
            </w:r>
            <w:r>
              <w:t xml:space="preserve">to </w:t>
            </w:r>
            <w:r>
              <w:t>include a health maintenance organization</w:t>
            </w:r>
            <w:r>
              <w:t xml:space="preserve"> (HMO)</w:t>
            </w:r>
            <w:r>
              <w:t xml:space="preserve"> </w:t>
            </w:r>
            <w:r>
              <w:t>as a</w:t>
            </w:r>
            <w:r>
              <w:t xml:space="preserve"> </w:t>
            </w:r>
            <w:r>
              <w:t xml:space="preserve">type of </w:t>
            </w:r>
            <w:r>
              <w:t>insurer req</w:t>
            </w:r>
            <w:r>
              <w:t>uired</w:t>
            </w:r>
            <w:r>
              <w:t xml:space="preserve"> </w:t>
            </w:r>
            <w:r>
              <w:t xml:space="preserve">to participate as a member of the </w:t>
            </w:r>
            <w:r w:rsidRPr="000461A6">
              <w:t>Texas Life and Health Insurance Guaranty Association</w:t>
            </w:r>
            <w:r>
              <w:t xml:space="preserve"> </w:t>
            </w:r>
            <w:r>
              <w:t xml:space="preserve">and </w:t>
            </w:r>
            <w:r>
              <w:t xml:space="preserve">to revise </w:t>
            </w:r>
            <w:r>
              <w:t xml:space="preserve">the </w:t>
            </w:r>
            <w:r w:rsidRPr="00966FD8">
              <w:t>Texas Life and Health Insurance Guaranty Association Act</w:t>
            </w:r>
            <w:r>
              <w:t xml:space="preserve"> </w:t>
            </w:r>
            <w:r>
              <w:t>to reflect</w:t>
            </w:r>
            <w:r>
              <w:t xml:space="preserve"> th</w:t>
            </w:r>
            <w:r>
              <w:t>at</w:t>
            </w:r>
            <w:r>
              <w:t xml:space="preserve"> inclusion</w:t>
            </w:r>
            <w:r>
              <w:t xml:space="preserve"> and make certain other updates</w:t>
            </w:r>
            <w:r>
              <w:t xml:space="preserve"> regarding the act's applicabili</w:t>
            </w:r>
            <w:r>
              <w:t>ty</w:t>
            </w:r>
            <w:r>
              <w:t>.</w:t>
            </w:r>
            <w:r>
              <w:t xml:space="preserve"> </w:t>
            </w:r>
            <w:r>
              <w:t>The bill specifies that the p</w:t>
            </w:r>
            <w:r>
              <w:t>ersons</w:t>
            </w:r>
            <w:r>
              <w:t xml:space="preserve"> covered under the act include </w:t>
            </w:r>
            <w:r>
              <w:t xml:space="preserve">certain </w:t>
            </w:r>
            <w:r>
              <w:t xml:space="preserve">health care providers who render services covered under a health insurance policy or certificate. </w:t>
            </w:r>
            <w:r>
              <w:t>The bill excludes</w:t>
            </w:r>
            <w:r>
              <w:t xml:space="preserve"> </w:t>
            </w:r>
            <w:r>
              <w:t xml:space="preserve">the following </w:t>
            </w:r>
            <w:r w:rsidRPr="00B86701">
              <w:t>from coverage under the act</w:t>
            </w:r>
            <w:r>
              <w:t>:</w:t>
            </w:r>
            <w:r>
              <w:t xml:space="preserve"> </w:t>
            </w:r>
          </w:p>
          <w:p w:rsidR="00693C25" w:rsidRDefault="00993AF8" w:rsidP="00405BF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7E4A14">
              <w:t>a person who</w:t>
            </w:r>
            <w:r w:rsidRPr="004059C9">
              <w:t xml:space="preserve"> acquires rights to receive payments through a structured settlement factoring transaction</w:t>
            </w:r>
            <w:r>
              <w:t xml:space="preserve"> as defined by </w:t>
            </w:r>
            <w:r>
              <w:t xml:space="preserve">the </w:t>
            </w:r>
            <w:r w:rsidRPr="00FA3230">
              <w:t>Internal Revenue Code of 1986</w:t>
            </w:r>
            <w:r>
              <w:t>;</w:t>
            </w:r>
            <w:r>
              <w:t xml:space="preserve"> </w:t>
            </w:r>
          </w:p>
          <w:p w:rsidR="00693C25" w:rsidRDefault="00993AF8" w:rsidP="00405BF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A3230">
              <w:t>structured settlement annuity benefits to which a payee or beneficiary has transferred the payee's or beneficiary's</w:t>
            </w:r>
            <w:r w:rsidRPr="00FA3230">
              <w:t xml:space="preserve"> rights in </w:t>
            </w:r>
            <w:r>
              <w:t xml:space="preserve">such </w:t>
            </w:r>
            <w:r w:rsidRPr="00FA3230">
              <w:t xml:space="preserve">a </w:t>
            </w:r>
            <w:r>
              <w:t>transaction</w:t>
            </w:r>
            <w:r>
              <w:t>;</w:t>
            </w:r>
            <w:r>
              <w:t xml:space="preserve"> and </w:t>
            </w:r>
          </w:p>
          <w:p w:rsidR="00693C25" w:rsidRDefault="00993AF8" w:rsidP="00405BF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policy or contract providing a health care benefit under </w:t>
            </w:r>
            <w:r>
              <w:t xml:space="preserve">federal law or regulations relating to </w:t>
            </w:r>
            <w:r>
              <w:t xml:space="preserve">Medicaid </w:t>
            </w:r>
            <w:r w:rsidRPr="007E4A14">
              <w:t>or the</w:t>
            </w:r>
            <w:r w:rsidRPr="007E4A14">
              <w:t xml:space="preserve"> </w:t>
            </w:r>
            <w:r>
              <w:t>c</w:t>
            </w:r>
            <w:r w:rsidRPr="007E4A14">
              <w:t xml:space="preserve">hildren's </w:t>
            </w:r>
            <w:r>
              <w:t>h</w:t>
            </w:r>
            <w:r w:rsidRPr="007E4A14">
              <w:t xml:space="preserve">ealth </w:t>
            </w:r>
            <w:r>
              <w:t>i</w:t>
            </w:r>
            <w:r w:rsidRPr="007E4A14">
              <w:t xml:space="preserve">nsurance </w:t>
            </w:r>
            <w:r>
              <w:t>p</w:t>
            </w:r>
            <w:r w:rsidRPr="007E4A14">
              <w:t>rogram</w:t>
            </w:r>
            <w:r>
              <w:t xml:space="preserve">. </w:t>
            </w:r>
          </w:p>
          <w:p w:rsidR="0080540C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establishes that certain </w:t>
            </w:r>
            <w:r>
              <w:t xml:space="preserve">existing exclusions from coverage </w:t>
            </w:r>
            <w:r>
              <w:t>under the act</w:t>
            </w:r>
            <w:r>
              <w:t xml:space="preserve"> </w:t>
            </w:r>
            <w:r>
              <w:t xml:space="preserve">do not apply to </w:t>
            </w:r>
            <w:r w:rsidRPr="00AA7A77">
              <w:t>any portion of a policy or contract, including a rider, that provides long-term care benefits or any</w:t>
            </w:r>
            <w:r>
              <w:t xml:space="preserve"> other health insurance benefit and that, for the purposes of the act, </w:t>
            </w:r>
            <w:r w:rsidRPr="00C826C3">
              <w:t>benefits provided by a long</w:t>
            </w:r>
            <w:r>
              <w:noBreakHyphen/>
            </w:r>
            <w:r w:rsidRPr="00C826C3">
              <w:t>term care rider to a life i</w:t>
            </w:r>
            <w:r w:rsidRPr="00C826C3">
              <w:t>nsurance policy or annuity contract are considered to be the same type of benefits as the base life insurance policy or annuity contract.</w:t>
            </w:r>
            <w:r>
              <w:t xml:space="preserve"> </w:t>
            </w:r>
          </w:p>
          <w:p w:rsidR="00C03F9C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70E6A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1153</w:t>
            </w:r>
            <w:r w:rsidRPr="00C03F9C">
              <w:t xml:space="preserve"> </w:t>
            </w:r>
            <w:r>
              <w:t>requires the commissioner of insurance</w:t>
            </w:r>
            <w:r>
              <w:t>, in appointing members of the association's board of directors,</w:t>
            </w:r>
            <w:r>
              <w:t xml:space="preserve"> to </w:t>
            </w:r>
            <w:r>
              <w:t>consider</w:t>
            </w:r>
            <w:r>
              <w:t xml:space="preserve"> </w:t>
            </w:r>
            <w:r>
              <w:t xml:space="preserve">whether </w:t>
            </w:r>
            <w:r>
              <w:t>the</w:t>
            </w:r>
            <w:r w:rsidRPr="00241885">
              <w:t xml:space="preserve"> </w:t>
            </w:r>
            <w:r w:rsidRPr="00241885">
              <w:t>directors</w:t>
            </w:r>
            <w:r>
              <w:t xml:space="preserve"> </w:t>
            </w:r>
            <w:r>
              <w:t xml:space="preserve">appointed from member insurers </w:t>
            </w:r>
            <w:r w:rsidRPr="00B86F47">
              <w:t xml:space="preserve">fairly represent the member insurers that are </w:t>
            </w:r>
            <w:r>
              <w:t>HMO</w:t>
            </w:r>
            <w:r>
              <w:t>s</w:t>
            </w:r>
            <w:r w:rsidRPr="00B86F47">
              <w:t xml:space="preserve"> and life, health, and annuity insurers.</w:t>
            </w:r>
            <w:r>
              <w:t xml:space="preserve"> The bill authorizes the board to </w:t>
            </w:r>
            <w:r w:rsidRPr="00B467BE">
              <w:t xml:space="preserve">use telephone conference call, videoconference, or other similar telecommunication method </w:t>
            </w:r>
            <w:r>
              <w:t>for</w:t>
            </w:r>
            <w:r>
              <w:t xml:space="preserve"> establish</w:t>
            </w:r>
            <w:r>
              <w:t>ing</w:t>
            </w:r>
            <w:r w:rsidRPr="00971B5D">
              <w:t xml:space="preserve"> a quorum, </w:t>
            </w:r>
            <w:r>
              <w:t>vot</w:t>
            </w:r>
            <w:r>
              <w:t>ing</w:t>
            </w:r>
            <w:r w:rsidRPr="00971B5D">
              <w:t>, or</w:t>
            </w:r>
            <w:r>
              <w:t xml:space="preserve"> </w:t>
            </w:r>
            <w:r w:rsidRPr="00971B5D">
              <w:t>any other meeting purpose regardless of the subject matter discussed or considered by the board at the meeting</w:t>
            </w:r>
            <w:r>
              <w:t xml:space="preserve"> </w:t>
            </w:r>
            <w:r w:rsidRPr="00A732ED">
              <w:t>and removes limit</w:t>
            </w:r>
            <w:r w:rsidRPr="00A732ED">
              <w:t>ation</w:t>
            </w:r>
            <w:r w:rsidRPr="00A732ED">
              <w:t>s</w:t>
            </w:r>
            <w:r w:rsidRPr="00A732ED">
              <w:t xml:space="preserve"> on </w:t>
            </w:r>
            <w:r>
              <w:t>the use of</w:t>
            </w:r>
            <w:r w:rsidRPr="00A732ED">
              <w:t xml:space="preserve"> such </w:t>
            </w:r>
            <w:r w:rsidRPr="00A732ED">
              <w:t xml:space="preserve">meeting </w:t>
            </w:r>
            <w:r w:rsidRPr="00A732ED">
              <w:t>methods</w:t>
            </w:r>
            <w:r w:rsidRPr="00971B5D">
              <w:t>.</w:t>
            </w:r>
            <w:r>
              <w:t xml:space="preserve"> The bill </w:t>
            </w:r>
            <w:r>
              <w:t xml:space="preserve">revises the meeting location that must be specified in a notice of a board meeting and </w:t>
            </w:r>
            <w:r>
              <w:t>requires</w:t>
            </w:r>
            <w:r>
              <w:t xml:space="preserve"> an audio or digital recording of the open portion of a </w:t>
            </w:r>
            <w:r>
              <w:t xml:space="preserve">board </w:t>
            </w:r>
            <w:r>
              <w:t xml:space="preserve">meeting </w:t>
            </w:r>
            <w:r>
              <w:t>to</w:t>
            </w:r>
            <w:r>
              <w:t xml:space="preserve"> be post</w:t>
            </w:r>
            <w:r>
              <w:t>ed</w:t>
            </w:r>
            <w:r>
              <w:t xml:space="preserve"> on the association's websi</w:t>
            </w:r>
            <w:r>
              <w:t>te.</w:t>
            </w:r>
            <w:r>
              <w:t xml:space="preserve"> </w:t>
            </w:r>
          </w:p>
          <w:p w:rsidR="00170E6A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F2FEC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1153</w:t>
            </w:r>
            <w:r>
              <w:t xml:space="preserve"> authorizes the association to </w:t>
            </w:r>
            <w:r w:rsidRPr="00C9797B">
              <w:t xml:space="preserve">implement or file for an actuarially justified rate or premium increase in accordance with the terms and conditions </w:t>
            </w:r>
            <w:r>
              <w:t>of a covered policy or contract</w:t>
            </w:r>
            <w:r>
              <w:t xml:space="preserve"> unless doing so is prohibited by other law</w:t>
            </w:r>
            <w:r>
              <w:t>.</w:t>
            </w:r>
            <w:r>
              <w:t xml:space="preserve"> </w:t>
            </w:r>
            <w:r w:rsidRPr="007E4A14">
              <w:t xml:space="preserve">The bill </w:t>
            </w:r>
            <w:r w:rsidRPr="00051698">
              <w:t xml:space="preserve">changes </w:t>
            </w:r>
            <w:r w:rsidRPr="00051698">
              <w:t xml:space="preserve">the </w:t>
            </w:r>
            <w:r w:rsidRPr="00051698">
              <w:t>date</w:t>
            </w:r>
            <w:r w:rsidRPr="00051698">
              <w:t xml:space="preserve"> </w:t>
            </w:r>
            <w:r w:rsidRPr="00051698">
              <w:t>on</w:t>
            </w:r>
            <w:r w:rsidRPr="00051698">
              <w:t xml:space="preserve"> which</w:t>
            </w:r>
            <w:r w:rsidRPr="00051698">
              <w:t xml:space="preserve"> </w:t>
            </w:r>
            <w:r w:rsidRPr="00A23D46">
              <w:t>an amendment</w:t>
            </w:r>
            <w:r w:rsidRPr="007E4A14">
              <w:t xml:space="preserve"> to the association's plan of operation</w:t>
            </w:r>
            <w:r w:rsidRPr="003C3FF8">
              <w:t xml:space="preserve"> automatically takes effect if not approved or disapproved by the </w:t>
            </w:r>
            <w:r w:rsidRPr="00051698">
              <w:t>commissioner before that date</w:t>
            </w:r>
            <w:r w:rsidRPr="00051698">
              <w:t xml:space="preserve"> from the 30th day after the date </w:t>
            </w:r>
            <w:r w:rsidRPr="00051698">
              <w:t>the amendment</w:t>
            </w:r>
            <w:r w:rsidRPr="00051698">
              <w:t xml:space="preserve"> </w:t>
            </w:r>
            <w:r w:rsidRPr="00051698">
              <w:t xml:space="preserve">is submitted to the commissioner </w:t>
            </w:r>
            <w:r w:rsidRPr="00051698">
              <w:t>for approva</w:t>
            </w:r>
            <w:r w:rsidRPr="00051698">
              <w:t xml:space="preserve">l </w:t>
            </w:r>
            <w:r w:rsidRPr="00051698">
              <w:t>to the 60th day after that date</w:t>
            </w:r>
            <w:r w:rsidRPr="00A23D46">
              <w:t>.</w:t>
            </w:r>
            <w:r>
              <w:t xml:space="preserve"> </w:t>
            </w:r>
          </w:p>
          <w:p w:rsidR="005F2FEC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54B30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1153</w:t>
            </w:r>
            <w:r>
              <w:t xml:space="preserve"> requires the </w:t>
            </w:r>
            <w:r w:rsidRPr="00820BBF">
              <w:t xml:space="preserve">amount of a Class B assessment for long-term care insurance written by an impaired or insolvent </w:t>
            </w:r>
            <w:r w:rsidRPr="006C4D56">
              <w:t xml:space="preserve">association </w:t>
            </w:r>
            <w:r w:rsidRPr="006C4D56">
              <w:t>member</w:t>
            </w:r>
            <w:r w:rsidRPr="006C4D56">
              <w:t xml:space="preserve"> insurer</w:t>
            </w:r>
            <w:r w:rsidRPr="00820BBF">
              <w:t xml:space="preserve"> </w:t>
            </w:r>
            <w:r>
              <w:t>to</w:t>
            </w:r>
            <w:r w:rsidRPr="00820BBF">
              <w:t xml:space="preserve"> be allocated according to a methodology </w:t>
            </w:r>
            <w:r>
              <w:t xml:space="preserve">that is </w:t>
            </w:r>
            <w:r w:rsidRPr="00820BBF">
              <w:t xml:space="preserve">included in the </w:t>
            </w:r>
            <w:r>
              <w:t>associ</w:t>
            </w:r>
            <w:r>
              <w:t xml:space="preserve">ation's </w:t>
            </w:r>
            <w:r w:rsidRPr="00820BBF">
              <w:t>plan of operation</w:t>
            </w:r>
            <w:r>
              <w:t>,</w:t>
            </w:r>
            <w:r w:rsidRPr="00820BBF">
              <w:t xml:space="preserve"> </w:t>
            </w:r>
            <w:r>
              <w:t xml:space="preserve">is </w:t>
            </w:r>
            <w:r w:rsidRPr="00820BBF">
              <w:t>approved by the commissioner</w:t>
            </w:r>
            <w:r>
              <w:t>,</w:t>
            </w:r>
            <w:r>
              <w:t xml:space="preserve"> and </w:t>
            </w:r>
            <w:r w:rsidRPr="00FE5E57">
              <w:t>provide</w:t>
            </w:r>
            <w:r>
              <w:t>s</w:t>
            </w:r>
            <w:r w:rsidRPr="00FE5E57">
              <w:t xml:space="preserve"> for 50 percent of the assessment to be allocated to accident and health member insurers and 50 percent to be allocated to life and annuity member insurers</w:t>
            </w:r>
            <w:r>
              <w:t>.</w:t>
            </w:r>
            <w:r>
              <w:t xml:space="preserve"> The bill exempts </w:t>
            </w:r>
            <w:r>
              <w:t xml:space="preserve">from this </w:t>
            </w:r>
            <w:r>
              <w:t xml:space="preserve">requirement </w:t>
            </w:r>
            <w:r w:rsidRPr="005F2FEC">
              <w:t>a rider to a member insurer's life insurance policy or annuity contract that provides long-term care benefits</w:t>
            </w:r>
            <w:r>
              <w:t>.</w:t>
            </w:r>
            <w:r>
              <w:t xml:space="preserve"> </w:t>
            </w:r>
          </w:p>
          <w:p w:rsidR="00854B30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734D8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1153</w:t>
            </w:r>
            <w:r w:rsidRPr="008D758C">
              <w:t xml:space="preserve"> </w:t>
            </w:r>
            <w:r>
              <w:t xml:space="preserve">expands the </w:t>
            </w:r>
            <w:r>
              <w:t>list</w:t>
            </w:r>
            <w:r>
              <w:t xml:space="preserve"> of actions that the association may take with respect to an impaired or insolvent</w:t>
            </w:r>
            <w:r>
              <w:t xml:space="preserve"> member insurer to include</w:t>
            </w:r>
            <w:r w:rsidRPr="008D758C">
              <w:t xml:space="preserve"> reissu</w:t>
            </w:r>
            <w:r>
              <w:t>ing</w:t>
            </w:r>
            <w:r w:rsidRPr="008D758C">
              <w:t xml:space="preserve"> </w:t>
            </w:r>
            <w:r>
              <w:t xml:space="preserve">the insurer's policies or contracts </w:t>
            </w:r>
            <w:r w:rsidRPr="008D758C">
              <w:t>or caus</w:t>
            </w:r>
            <w:r>
              <w:t>ing those policies or contracts</w:t>
            </w:r>
            <w:r w:rsidRPr="008D758C">
              <w:t xml:space="preserve"> to be reissued</w:t>
            </w:r>
            <w:r w:rsidRPr="00051698">
              <w:t>.</w:t>
            </w:r>
            <w:r>
              <w:t xml:space="preserve"> </w:t>
            </w:r>
            <w:r>
              <w:t xml:space="preserve">The bill makes the association's right to appear before a court applicable to a proposal for reissuing an impaired or insolvent </w:t>
            </w:r>
            <w:r>
              <w:t xml:space="preserve">insurer's policies or contracts. </w:t>
            </w:r>
          </w:p>
          <w:p w:rsidR="005734D8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1153</w:t>
            </w:r>
            <w:r>
              <w:t xml:space="preserve"> removes the requirement for </w:t>
            </w:r>
            <w:r>
              <w:t>the association</w:t>
            </w:r>
            <w:r>
              <w:t xml:space="preserve">, in ensuring payment of benefits </w:t>
            </w:r>
            <w:r>
              <w:t>with respect to</w:t>
            </w:r>
            <w:r>
              <w:t xml:space="preserve"> a life or health insurance </w:t>
            </w:r>
            <w:r>
              <w:t>policy or contract of certain im</w:t>
            </w:r>
            <w:r>
              <w:t>paired or insolvent insurers, to ensure such payment at pre</w:t>
            </w:r>
            <w:r>
              <w:t xml:space="preserve">miums </w:t>
            </w:r>
            <w:r w:rsidRPr="00DE2C85">
              <w:t>identical to the premiums that would have been applicable under that policy or contract</w:t>
            </w:r>
            <w:r>
              <w:t>.</w:t>
            </w:r>
            <w:r>
              <w:t xml:space="preserve"> The bill </w:t>
            </w:r>
            <w:r>
              <w:t xml:space="preserve">specifies that </w:t>
            </w:r>
            <w:r>
              <w:t xml:space="preserve">a </w:t>
            </w:r>
            <w:r>
              <w:t xml:space="preserve">reissued or alternative policy offered by the association as </w:t>
            </w:r>
            <w:r>
              <w:t xml:space="preserve">substitute coverage </w:t>
            </w:r>
            <w:r w:rsidRPr="00DD4E18">
              <w:t xml:space="preserve">with respect to </w:t>
            </w:r>
            <w:r>
              <w:t xml:space="preserve">such </w:t>
            </w:r>
            <w:r w:rsidRPr="00DD4E18">
              <w:t xml:space="preserve">a policy or contract </w:t>
            </w:r>
            <w:r>
              <w:t>must be</w:t>
            </w:r>
            <w:r>
              <w:t xml:space="preserve"> </w:t>
            </w:r>
            <w:r>
              <w:t>offe</w:t>
            </w:r>
            <w:r>
              <w:t xml:space="preserve">red </w:t>
            </w:r>
            <w:r>
              <w:t>at actuarially justified rates.</w:t>
            </w:r>
            <w:r>
              <w:t xml:space="preserve"> </w:t>
            </w:r>
          </w:p>
          <w:p w:rsidR="00E72787" w:rsidRPr="00835628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11B2A" w:rsidTr="00345119">
        <w:tc>
          <w:tcPr>
            <w:tcW w:w="9576" w:type="dxa"/>
          </w:tcPr>
          <w:p w:rsidR="008423E4" w:rsidRPr="00A8133F" w:rsidRDefault="00993AF8" w:rsidP="00405B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93AF8" w:rsidP="00405BFD"/>
          <w:p w:rsidR="008423E4" w:rsidRPr="003624F2" w:rsidRDefault="00993AF8" w:rsidP="00405B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93AF8" w:rsidP="00405BFD">
            <w:pPr>
              <w:rPr>
                <w:b/>
              </w:rPr>
            </w:pPr>
          </w:p>
        </w:tc>
      </w:tr>
    </w:tbl>
    <w:p w:rsidR="008423E4" w:rsidRPr="00BE0E75" w:rsidRDefault="00993AF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93AF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3AF8">
      <w:r>
        <w:separator/>
      </w:r>
    </w:p>
  </w:endnote>
  <w:endnote w:type="continuationSeparator" w:id="0">
    <w:p w:rsidR="00000000" w:rsidRDefault="0099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22" w:rsidRDefault="00993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1B2A" w:rsidTr="009C1E9A">
      <w:trPr>
        <w:cantSplit/>
      </w:trPr>
      <w:tc>
        <w:tcPr>
          <w:tcW w:w="0" w:type="pct"/>
        </w:tcPr>
        <w:p w:rsidR="00137D90" w:rsidRDefault="00993A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3A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3A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3A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3A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1B2A" w:rsidTr="009C1E9A">
      <w:trPr>
        <w:cantSplit/>
      </w:trPr>
      <w:tc>
        <w:tcPr>
          <w:tcW w:w="0" w:type="pct"/>
        </w:tcPr>
        <w:p w:rsidR="00EC379B" w:rsidRDefault="00993A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3A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28515</w:t>
          </w:r>
        </w:p>
      </w:tc>
      <w:tc>
        <w:tcPr>
          <w:tcW w:w="2453" w:type="pct"/>
        </w:tcPr>
        <w:p w:rsidR="00EC379B" w:rsidRDefault="00993A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19.109.396</w:t>
          </w:r>
          <w:r>
            <w:fldChar w:fldCharType="end"/>
          </w:r>
        </w:p>
      </w:tc>
    </w:tr>
    <w:tr w:rsidR="00C11B2A" w:rsidTr="009C1E9A">
      <w:trPr>
        <w:cantSplit/>
      </w:trPr>
      <w:tc>
        <w:tcPr>
          <w:tcW w:w="0" w:type="pct"/>
        </w:tcPr>
        <w:p w:rsidR="00EC379B" w:rsidRDefault="00993A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3A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93AF8" w:rsidP="006D504F">
          <w:pPr>
            <w:pStyle w:val="Footer"/>
            <w:rPr>
              <w:rStyle w:val="PageNumber"/>
            </w:rPr>
          </w:pPr>
        </w:p>
        <w:p w:rsidR="00EC379B" w:rsidRDefault="00993A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1B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3A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93A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3A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22" w:rsidRDefault="0099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3AF8">
      <w:r>
        <w:separator/>
      </w:r>
    </w:p>
  </w:footnote>
  <w:footnote w:type="continuationSeparator" w:id="0">
    <w:p w:rsidR="00000000" w:rsidRDefault="0099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22" w:rsidRDefault="0099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22" w:rsidRDefault="00993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22" w:rsidRDefault="00993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1DE"/>
    <w:multiLevelType w:val="hybridMultilevel"/>
    <w:tmpl w:val="3286B77E"/>
    <w:lvl w:ilvl="0" w:tplc="592E9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AF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83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4F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6A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AD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03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672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05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2A"/>
    <w:rsid w:val="00993AF8"/>
    <w:rsid w:val="00C1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D966A3-F3DE-46E8-A69A-4C02FE7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0C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C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C5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2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260D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3F2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4470</Characters>
  <Application>Microsoft Office Word</Application>
  <DocSecurity>4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SB01153 (Committee Report (Unamended))</vt:lpstr>
    </vt:vector>
  </TitlesOfParts>
  <Company>State of Texas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28515</dc:subject>
  <dc:creator>State of Texas</dc:creator>
  <dc:description>SB 1153 by Hancock-(H)Insurance</dc:description>
  <cp:lastModifiedBy>Stacey Nicchio</cp:lastModifiedBy>
  <cp:revision>2</cp:revision>
  <cp:lastPrinted>2003-11-26T17:21:00Z</cp:lastPrinted>
  <dcterms:created xsi:type="dcterms:W3CDTF">2019-04-23T23:41:00Z</dcterms:created>
  <dcterms:modified xsi:type="dcterms:W3CDTF">2019-04-23T23:41:00Z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19.109.396</vt:lpwstr>
  </property>
</Properties>
</file>