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2219F" w:rsidTr="00345119">
        <w:tc>
          <w:tcPr>
            <w:tcW w:w="9576" w:type="dxa"/>
            <w:noWrap/>
          </w:tcPr>
          <w:p w:rsidR="008423E4" w:rsidRPr="0022177D" w:rsidRDefault="00636623" w:rsidP="00345119">
            <w:pPr>
              <w:pStyle w:val="Heading1"/>
            </w:pPr>
            <w:bookmarkStart w:id="0" w:name="_GoBack"/>
            <w:bookmarkEnd w:id="0"/>
            <w:r w:rsidRPr="00631897">
              <w:t>BILL ANALYSIS</w:t>
            </w:r>
          </w:p>
        </w:tc>
      </w:tr>
    </w:tbl>
    <w:p w:rsidR="008423E4" w:rsidRPr="0022177D" w:rsidRDefault="00636623" w:rsidP="008423E4">
      <w:pPr>
        <w:jc w:val="center"/>
      </w:pPr>
    </w:p>
    <w:p w:rsidR="008423E4" w:rsidRPr="00B31F0E" w:rsidRDefault="00636623" w:rsidP="008423E4"/>
    <w:p w:rsidR="008423E4" w:rsidRPr="00742794" w:rsidRDefault="00636623" w:rsidP="008423E4">
      <w:pPr>
        <w:tabs>
          <w:tab w:val="right" w:pos="9360"/>
        </w:tabs>
      </w:pPr>
    </w:p>
    <w:tbl>
      <w:tblPr>
        <w:tblW w:w="0" w:type="auto"/>
        <w:tblLayout w:type="fixed"/>
        <w:tblLook w:val="01E0" w:firstRow="1" w:lastRow="1" w:firstColumn="1" w:lastColumn="1" w:noHBand="0" w:noVBand="0"/>
      </w:tblPr>
      <w:tblGrid>
        <w:gridCol w:w="9576"/>
      </w:tblGrid>
      <w:tr w:rsidR="00E2219F" w:rsidTr="00345119">
        <w:tc>
          <w:tcPr>
            <w:tcW w:w="9576" w:type="dxa"/>
          </w:tcPr>
          <w:p w:rsidR="008423E4" w:rsidRPr="00861995" w:rsidRDefault="00636623" w:rsidP="00345119">
            <w:pPr>
              <w:jc w:val="right"/>
            </w:pPr>
            <w:r>
              <w:t>S.B. 1189</w:t>
            </w:r>
          </w:p>
        </w:tc>
      </w:tr>
      <w:tr w:rsidR="00E2219F" w:rsidTr="00345119">
        <w:tc>
          <w:tcPr>
            <w:tcW w:w="9576" w:type="dxa"/>
          </w:tcPr>
          <w:p w:rsidR="008423E4" w:rsidRPr="00861995" w:rsidRDefault="00636623" w:rsidP="00DF17F2">
            <w:pPr>
              <w:jc w:val="right"/>
            </w:pPr>
            <w:r>
              <w:t xml:space="preserve">By: </w:t>
            </w:r>
            <w:r>
              <w:t>Buckingham</w:t>
            </w:r>
          </w:p>
        </w:tc>
      </w:tr>
      <w:tr w:rsidR="00E2219F" w:rsidTr="00345119">
        <w:tc>
          <w:tcPr>
            <w:tcW w:w="9576" w:type="dxa"/>
          </w:tcPr>
          <w:p w:rsidR="008423E4" w:rsidRPr="00861995" w:rsidRDefault="00636623" w:rsidP="00345119">
            <w:pPr>
              <w:jc w:val="right"/>
            </w:pPr>
            <w:r>
              <w:t>Judiciary &amp; Civil Jurisprudence</w:t>
            </w:r>
          </w:p>
        </w:tc>
      </w:tr>
      <w:tr w:rsidR="00E2219F" w:rsidTr="00345119">
        <w:tc>
          <w:tcPr>
            <w:tcW w:w="9576" w:type="dxa"/>
          </w:tcPr>
          <w:p w:rsidR="008423E4" w:rsidRDefault="00636623" w:rsidP="00345119">
            <w:pPr>
              <w:jc w:val="right"/>
            </w:pPr>
            <w:r>
              <w:t>Committee Report (Unamended)</w:t>
            </w:r>
          </w:p>
        </w:tc>
      </w:tr>
    </w:tbl>
    <w:p w:rsidR="008423E4" w:rsidRDefault="00636623" w:rsidP="008423E4">
      <w:pPr>
        <w:tabs>
          <w:tab w:val="right" w:pos="9360"/>
        </w:tabs>
      </w:pPr>
    </w:p>
    <w:p w:rsidR="008423E4" w:rsidRDefault="00636623" w:rsidP="008423E4"/>
    <w:p w:rsidR="008423E4" w:rsidRDefault="00636623" w:rsidP="008423E4"/>
    <w:tbl>
      <w:tblPr>
        <w:tblW w:w="0" w:type="auto"/>
        <w:tblCellMar>
          <w:left w:w="115" w:type="dxa"/>
          <w:right w:w="115" w:type="dxa"/>
        </w:tblCellMar>
        <w:tblLook w:val="01E0" w:firstRow="1" w:lastRow="1" w:firstColumn="1" w:lastColumn="1" w:noHBand="0" w:noVBand="0"/>
      </w:tblPr>
      <w:tblGrid>
        <w:gridCol w:w="9576"/>
      </w:tblGrid>
      <w:tr w:rsidR="00E2219F" w:rsidTr="00345119">
        <w:tc>
          <w:tcPr>
            <w:tcW w:w="9576" w:type="dxa"/>
          </w:tcPr>
          <w:p w:rsidR="008423E4" w:rsidRPr="00A8133F" w:rsidRDefault="00636623" w:rsidP="005A0875">
            <w:pPr>
              <w:rPr>
                <w:b/>
              </w:rPr>
            </w:pPr>
            <w:r w:rsidRPr="009C1E9A">
              <w:rPr>
                <w:b/>
                <w:u w:val="single"/>
              </w:rPr>
              <w:t>BACKGROUND AND PURPOSE</w:t>
            </w:r>
            <w:r>
              <w:rPr>
                <w:b/>
              </w:rPr>
              <w:t xml:space="preserve"> </w:t>
            </w:r>
          </w:p>
          <w:p w:rsidR="008423E4" w:rsidRDefault="00636623" w:rsidP="005A0875"/>
          <w:p w:rsidR="002B0322" w:rsidRDefault="00636623" w:rsidP="005A0875">
            <w:pPr>
              <w:pStyle w:val="Header"/>
              <w:tabs>
                <w:tab w:val="clear" w:pos="4320"/>
                <w:tab w:val="clear" w:pos="8640"/>
              </w:tabs>
              <w:jc w:val="both"/>
            </w:pPr>
            <w:r>
              <w:t xml:space="preserve">Concerns have been raised regarding the prevalence of certain </w:t>
            </w:r>
            <w:r>
              <w:t>television advertisements</w:t>
            </w:r>
            <w:r>
              <w:t xml:space="preserve"> for legal services</w:t>
            </w:r>
            <w:r>
              <w:t xml:space="preserve">, particularly those involving health-related topics such as prescription drugs. There have been </w:t>
            </w:r>
            <w:r>
              <w:t xml:space="preserve">indications </w:t>
            </w:r>
            <w:r>
              <w:t>that such advertisements may encourage viewers to make unfounded health care decisions that have serious negative consequences.</w:t>
            </w:r>
            <w:r>
              <w:t xml:space="preserve"> </w:t>
            </w:r>
            <w:r>
              <w:t>S.B. 1189</w:t>
            </w:r>
            <w:r>
              <w:t xml:space="preserve"> seeks to </w:t>
            </w:r>
            <w:r>
              <w:t xml:space="preserve">address these concerns by prohibiting the use of certain </w:t>
            </w:r>
            <w:r>
              <w:t>terminology</w:t>
            </w:r>
            <w:r>
              <w:t xml:space="preserve"> and </w:t>
            </w:r>
            <w:r>
              <w:t xml:space="preserve">logos in </w:t>
            </w:r>
            <w:r>
              <w:t xml:space="preserve">television </w:t>
            </w:r>
            <w:r>
              <w:t>advertisements</w:t>
            </w:r>
            <w:r>
              <w:t xml:space="preserve"> for legal services</w:t>
            </w:r>
            <w:r>
              <w:t xml:space="preserve">, requiring the inclusion of certain disclosure language and health warnings, and </w:t>
            </w:r>
            <w:r>
              <w:t>making</w:t>
            </w:r>
            <w:r>
              <w:t xml:space="preserve"> violations</w:t>
            </w:r>
            <w:r>
              <w:t xml:space="preserve"> of those regulations</w:t>
            </w:r>
            <w:r>
              <w:t xml:space="preserve"> actionabl</w:t>
            </w:r>
            <w:r>
              <w:t xml:space="preserve">e under the </w:t>
            </w:r>
            <w:r w:rsidRPr="00C84FCA">
              <w:t>Deceptive Trade Practices-Consumer Protection Act</w:t>
            </w:r>
            <w:r>
              <w:t>.</w:t>
            </w:r>
          </w:p>
          <w:p w:rsidR="008423E4" w:rsidRPr="00E26B13" w:rsidRDefault="00636623" w:rsidP="005A0875">
            <w:pPr>
              <w:pStyle w:val="Header"/>
              <w:tabs>
                <w:tab w:val="clear" w:pos="4320"/>
                <w:tab w:val="clear" w:pos="8640"/>
              </w:tabs>
              <w:jc w:val="both"/>
              <w:rPr>
                <w:b/>
              </w:rPr>
            </w:pPr>
          </w:p>
        </w:tc>
      </w:tr>
      <w:tr w:rsidR="00E2219F" w:rsidTr="00345119">
        <w:tc>
          <w:tcPr>
            <w:tcW w:w="9576" w:type="dxa"/>
          </w:tcPr>
          <w:p w:rsidR="0017725B" w:rsidRDefault="00636623" w:rsidP="005A0875">
            <w:pPr>
              <w:rPr>
                <w:b/>
                <w:u w:val="single"/>
              </w:rPr>
            </w:pPr>
            <w:r>
              <w:rPr>
                <w:b/>
                <w:u w:val="single"/>
              </w:rPr>
              <w:t>CRIMINAL JUSTICE IMPACT</w:t>
            </w:r>
          </w:p>
          <w:p w:rsidR="0017725B" w:rsidRDefault="00636623" w:rsidP="005A0875">
            <w:pPr>
              <w:rPr>
                <w:b/>
                <w:u w:val="single"/>
              </w:rPr>
            </w:pPr>
          </w:p>
          <w:p w:rsidR="00A455BD" w:rsidRPr="00A455BD" w:rsidRDefault="00636623" w:rsidP="005A0875">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rsidR="0017725B" w:rsidRPr="0017725B" w:rsidRDefault="00636623" w:rsidP="005A0875">
            <w:pPr>
              <w:rPr>
                <w:b/>
                <w:u w:val="single"/>
              </w:rPr>
            </w:pPr>
          </w:p>
        </w:tc>
      </w:tr>
      <w:tr w:rsidR="00E2219F" w:rsidTr="00345119">
        <w:tc>
          <w:tcPr>
            <w:tcW w:w="9576" w:type="dxa"/>
          </w:tcPr>
          <w:p w:rsidR="008423E4" w:rsidRPr="00A8133F" w:rsidRDefault="00636623" w:rsidP="005A0875">
            <w:pPr>
              <w:rPr>
                <w:b/>
              </w:rPr>
            </w:pPr>
            <w:r w:rsidRPr="009C1E9A">
              <w:rPr>
                <w:b/>
                <w:u w:val="single"/>
              </w:rPr>
              <w:t>RULEMAKING AUTHORITY</w:t>
            </w:r>
            <w:r>
              <w:rPr>
                <w:b/>
              </w:rPr>
              <w:t xml:space="preserve"> </w:t>
            </w:r>
          </w:p>
          <w:p w:rsidR="008423E4" w:rsidRDefault="00636623" w:rsidP="005A0875"/>
          <w:p w:rsidR="00A455BD" w:rsidRDefault="00636623" w:rsidP="005A0875">
            <w:pPr>
              <w:pStyle w:val="Header"/>
              <w:tabs>
                <w:tab w:val="clear" w:pos="4320"/>
                <w:tab w:val="clear" w:pos="8640"/>
              </w:tabs>
              <w:jc w:val="both"/>
            </w:pPr>
            <w:r>
              <w:t>It is the committee's opinion that this bill does not expressly grant any additional rulemaking authority to a state offic</w:t>
            </w:r>
            <w:r>
              <w:t>er, department, agency, or institution.</w:t>
            </w:r>
          </w:p>
          <w:p w:rsidR="008423E4" w:rsidRPr="00E21FDC" w:rsidRDefault="00636623" w:rsidP="005A0875">
            <w:pPr>
              <w:rPr>
                <w:b/>
              </w:rPr>
            </w:pPr>
          </w:p>
        </w:tc>
      </w:tr>
      <w:tr w:rsidR="00E2219F" w:rsidTr="00345119">
        <w:tc>
          <w:tcPr>
            <w:tcW w:w="9576" w:type="dxa"/>
          </w:tcPr>
          <w:p w:rsidR="008423E4" w:rsidRPr="00A8133F" w:rsidRDefault="00636623" w:rsidP="005A0875">
            <w:pPr>
              <w:rPr>
                <w:b/>
              </w:rPr>
            </w:pPr>
            <w:r w:rsidRPr="009C1E9A">
              <w:rPr>
                <w:b/>
                <w:u w:val="single"/>
              </w:rPr>
              <w:t>ANALYSIS</w:t>
            </w:r>
            <w:r>
              <w:rPr>
                <w:b/>
              </w:rPr>
              <w:t xml:space="preserve"> </w:t>
            </w:r>
          </w:p>
          <w:p w:rsidR="008423E4" w:rsidRDefault="00636623" w:rsidP="005A0875"/>
          <w:p w:rsidR="004D4831" w:rsidRDefault="00636623" w:rsidP="005A0875">
            <w:pPr>
              <w:pStyle w:val="Header"/>
              <w:jc w:val="both"/>
            </w:pPr>
            <w:r>
              <w:t>S.B. 1189</w:t>
            </w:r>
            <w:r>
              <w:t xml:space="preserve"> amends the Government Code to prohibit a</w:t>
            </w:r>
            <w:r>
              <w:t xml:space="preserve"> television</w:t>
            </w:r>
            <w:r>
              <w:t xml:space="preserve"> advertisement </w:t>
            </w:r>
            <w:r>
              <w:t xml:space="preserve">that promotes a person's provision of legal services or solicits clients to receive </w:t>
            </w:r>
            <w:r>
              <w:t xml:space="preserve">legal services from </w:t>
            </w:r>
            <w:r>
              <w:t>doing the following:</w:t>
            </w:r>
          </w:p>
          <w:p w:rsidR="004D4831" w:rsidRDefault="00636623" w:rsidP="005A0875">
            <w:pPr>
              <w:pStyle w:val="Header"/>
              <w:numPr>
                <w:ilvl w:val="0"/>
                <w:numId w:val="2"/>
              </w:numPr>
              <w:spacing w:before="120" w:after="120"/>
              <w:jc w:val="both"/>
            </w:pPr>
            <w:r>
              <w:t>presenting the advertisement as a "medical alert," "health alert," "consumer alert,"</w:t>
            </w:r>
            <w:r>
              <w:t xml:space="preserve"> "drug alert,"</w:t>
            </w:r>
            <w:r>
              <w:t xml:space="preserve"> "public service announcement," or </w:t>
            </w:r>
            <w:r>
              <w:t xml:space="preserve">substantially </w:t>
            </w:r>
            <w:r>
              <w:t>similar phrase</w:t>
            </w:r>
            <w:r>
              <w:t xml:space="preserve"> </w:t>
            </w:r>
            <w:r w:rsidRPr="000D5D20">
              <w:t>that suggests to a reasonable viewer the advertisement is offering professional, medical, or g</w:t>
            </w:r>
            <w:r w:rsidRPr="000D5D20">
              <w:t>overnment agency advice about medications or medical devices rather than legal services</w:t>
            </w:r>
            <w:r>
              <w:t xml:space="preserve">; </w:t>
            </w:r>
          </w:p>
          <w:p w:rsidR="004D4831" w:rsidRDefault="00636623" w:rsidP="005A0875">
            <w:pPr>
              <w:pStyle w:val="Header"/>
              <w:numPr>
                <w:ilvl w:val="0"/>
                <w:numId w:val="2"/>
              </w:numPr>
              <w:spacing w:before="120" w:after="120"/>
              <w:jc w:val="both"/>
            </w:pPr>
            <w:r>
              <w:t xml:space="preserve">displaying the logo of a federal or state government agency in a manner that suggests </w:t>
            </w:r>
            <w:r w:rsidRPr="000D5D20">
              <w:t>to a reasonable viewer the advertisement is presented by a federal or state gove</w:t>
            </w:r>
            <w:r w:rsidRPr="000D5D20">
              <w:t xml:space="preserve">rnment agency or by an entity approved by or affiliated with </w:t>
            </w:r>
            <w:r>
              <w:t>a</w:t>
            </w:r>
            <w:r w:rsidRPr="000D5D20">
              <w:t xml:space="preserve"> federal or state government</w:t>
            </w:r>
            <w:r>
              <w:t xml:space="preserve"> agency; </w:t>
            </w:r>
            <w:r>
              <w:t xml:space="preserve">and </w:t>
            </w:r>
          </w:p>
          <w:p w:rsidR="004D4831" w:rsidRDefault="00636623" w:rsidP="005A0875">
            <w:pPr>
              <w:pStyle w:val="Header"/>
              <w:numPr>
                <w:ilvl w:val="0"/>
                <w:numId w:val="2"/>
              </w:numPr>
              <w:spacing w:before="120" w:after="120"/>
              <w:jc w:val="both"/>
            </w:pPr>
            <w:r>
              <w:t>using the term "recall" when referring to a product that has not been recalled by a government agency or through an agreement between a manufacturer and</w:t>
            </w:r>
            <w:r>
              <w:t xml:space="preserve"> </w:t>
            </w:r>
            <w:r>
              <w:t xml:space="preserve">a </w:t>
            </w:r>
            <w:r>
              <w:t xml:space="preserve">government agency. </w:t>
            </w:r>
          </w:p>
          <w:p w:rsidR="004D4831" w:rsidRDefault="00636623" w:rsidP="005A0875">
            <w:pPr>
              <w:pStyle w:val="Header"/>
              <w:jc w:val="both"/>
            </w:pPr>
          </w:p>
          <w:p w:rsidR="00DF3130" w:rsidRDefault="00636623" w:rsidP="005A0875">
            <w:pPr>
              <w:pStyle w:val="Header"/>
              <w:jc w:val="both"/>
            </w:pPr>
            <w:r>
              <w:t>S.B. 1189</w:t>
            </w:r>
            <w:r>
              <w:t xml:space="preserve"> requires an advertisement for legal services to </w:t>
            </w:r>
            <w:r>
              <w:t>state</w:t>
            </w:r>
            <w:r>
              <w:t xml:space="preserve"> the following</w:t>
            </w:r>
            <w:r>
              <w:t xml:space="preserve"> both verbally and visually</w:t>
            </w:r>
            <w:r>
              <w:t>:</w:t>
            </w:r>
          </w:p>
          <w:p w:rsidR="00DF3130" w:rsidRDefault="00636623" w:rsidP="005A0875">
            <w:pPr>
              <w:pStyle w:val="Header"/>
              <w:numPr>
                <w:ilvl w:val="0"/>
                <w:numId w:val="1"/>
              </w:numPr>
              <w:spacing w:before="120" w:after="120"/>
              <w:jc w:val="both"/>
            </w:pPr>
            <w:r>
              <w:t>at the beginning of the advertisement, "This is a paid advertisement for legal services</w:t>
            </w:r>
            <w:r>
              <w:t>.";</w:t>
            </w:r>
          </w:p>
          <w:p w:rsidR="00DF3130" w:rsidRDefault="00636623" w:rsidP="005A0875">
            <w:pPr>
              <w:pStyle w:val="Header"/>
              <w:numPr>
                <w:ilvl w:val="0"/>
                <w:numId w:val="1"/>
              </w:numPr>
              <w:spacing w:before="120" w:after="120"/>
              <w:jc w:val="both"/>
            </w:pPr>
            <w:r>
              <w:t xml:space="preserve">the identity of the sponsor of the </w:t>
            </w:r>
            <w:r>
              <w:t xml:space="preserve">advertisement; and </w:t>
            </w:r>
          </w:p>
          <w:p w:rsidR="00DF3130" w:rsidRDefault="00636623" w:rsidP="005A0875">
            <w:pPr>
              <w:pStyle w:val="Header"/>
              <w:numPr>
                <w:ilvl w:val="0"/>
                <w:numId w:val="1"/>
              </w:numPr>
              <w:spacing w:before="120" w:after="120"/>
              <w:jc w:val="both"/>
            </w:pPr>
            <w:r>
              <w:t xml:space="preserve">either the identity of the attorney or law firm </w:t>
            </w:r>
            <w:r>
              <w:t>primarily responsible for providing solicited</w:t>
            </w:r>
            <w:r>
              <w:t xml:space="preserve"> legal services to a </w:t>
            </w:r>
            <w:r>
              <w:t xml:space="preserve">person who engages the attorney or law firm in response to the advertisement </w:t>
            </w:r>
            <w:r>
              <w:t xml:space="preserve">or the manner in which </w:t>
            </w:r>
            <w:r>
              <w:t>a responding person's</w:t>
            </w:r>
            <w:r>
              <w:t xml:space="preserve"> case is referred to an attorney or law firm if the sponsor of the advertisement is not legally authorized to provide legal services to </w:t>
            </w:r>
            <w:r>
              <w:t>clients</w:t>
            </w:r>
            <w:r>
              <w:t>.</w:t>
            </w:r>
          </w:p>
          <w:p w:rsidR="001927E1" w:rsidRDefault="00636623" w:rsidP="005A0875">
            <w:pPr>
              <w:pStyle w:val="Header"/>
              <w:jc w:val="both"/>
            </w:pPr>
            <w:r>
              <w:t>The bill</w:t>
            </w:r>
            <w:r>
              <w:t xml:space="preserve"> requires an </w:t>
            </w:r>
            <w:r w:rsidRPr="00A83097">
              <w:t>advertisement for legal services soliciting clients who may allege an injury from a prescr</w:t>
            </w:r>
            <w:r w:rsidRPr="00A83097">
              <w:t xml:space="preserve">iption drug approved by the </w:t>
            </w:r>
            <w:r>
              <w:t>U.S.</w:t>
            </w:r>
            <w:r w:rsidRPr="00A83097">
              <w:t xml:space="preserve"> Food and Drug Administration</w:t>
            </w:r>
            <w:r>
              <w:t xml:space="preserve"> (FDA)</w:t>
            </w:r>
            <w:r>
              <w:t xml:space="preserve"> to include </w:t>
            </w:r>
            <w:r>
              <w:t xml:space="preserve">a </w:t>
            </w:r>
            <w:r>
              <w:t>verbal and visual statement: "Do not stop taking</w:t>
            </w:r>
            <w:r>
              <w:t xml:space="preserve"> a prescribed medication without first consulting </w:t>
            </w:r>
            <w:r>
              <w:t>a</w:t>
            </w:r>
            <w:r>
              <w:t xml:space="preserve"> physician</w:t>
            </w:r>
            <w:r w:rsidRPr="00A83097">
              <w:t>.</w:t>
            </w:r>
            <w:r>
              <w:t>"</w:t>
            </w:r>
            <w:r>
              <w:t xml:space="preserve"> </w:t>
            </w:r>
          </w:p>
          <w:p w:rsidR="001927E1" w:rsidRDefault="00636623" w:rsidP="005A0875">
            <w:pPr>
              <w:pStyle w:val="Header"/>
              <w:jc w:val="both"/>
            </w:pPr>
          </w:p>
          <w:p w:rsidR="008423E4" w:rsidRDefault="00636623" w:rsidP="005A0875">
            <w:pPr>
              <w:pStyle w:val="Header"/>
              <w:jc w:val="both"/>
            </w:pPr>
            <w:r>
              <w:t>S.B. 1189</w:t>
            </w:r>
            <w:r>
              <w:t xml:space="preserve"> requires a</w:t>
            </w:r>
            <w:r>
              <w:t xml:space="preserve"> visual</w:t>
            </w:r>
            <w:r w:rsidRPr="00A56C08">
              <w:t xml:space="preserve"> statement required to appear in a</w:t>
            </w:r>
            <w:r w:rsidRPr="00A56C08">
              <w:t>n advertisement t</w:t>
            </w:r>
            <w:r>
              <w:t>o</w:t>
            </w:r>
            <w:r w:rsidRPr="00A56C08">
              <w:t xml:space="preserve"> be presented clearly</w:t>
            </w:r>
            <w:r>
              <w:t>,</w:t>
            </w:r>
            <w:r w:rsidRPr="00A56C08">
              <w:t xml:space="preserve"> conspicuously</w:t>
            </w:r>
            <w:r>
              <w:t>, and for a sufficient length of time for a viewer to see and read the statement</w:t>
            </w:r>
            <w:r w:rsidRPr="00A56C08">
              <w:t>.</w:t>
            </w:r>
            <w:r>
              <w:t xml:space="preserve"> </w:t>
            </w:r>
            <w:r>
              <w:t>The bill prohibits a court from finding that a visual statement in a</w:t>
            </w:r>
            <w:r>
              <w:t>n</w:t>
            </w:r>
            <w:r>
              <w:t xml:space="preserve"> advertisement is noncompliant with </w:t>
            </w:r>
            <w:r>
              <w:t>these requireme</w:t>
            </w:r>
            <w:r>
              <w:t>nts</w:t>
            </w:r>
            <w:r>
              <w:t xml:space="preserve"> if the statement is presented in the same size and style of font and for the same duration as a visual reference to the telephone number or website of the entity a responding person contacts for the legal services offered or discussed in the advertisem</w:t>
            </w:r>
            <w:r>
              <w:t xml:space="preserve">ent. </w:t>
            </w:r>
            <w:r>
              <w:t xml:space="preserve">The bill requires a verbal </w:t>
            </w:r>
            <w:r>
              <w:t xml:space="preserve">statement required to appear in an advertisement </w:t>
            </w:r>
            <w:r>
              <w:t>to be audible</w:t>
            </w:r>
            <w:r>
              <w:t>,</w:t>
            </w:r>
            <w:r>
              <w:t xml:space="preserve"> intelligible</w:t>
            </w:r>
            <w:r>
              <w:t>, and presented with equal prominence as the other parts of the advertisement</w:t>
            </w:r>
            <w:r>
              <w:t>.</w:t>
            </w:r>
            <w:r>
              <w:t xml:space="preserve"> The bill prohibits a court </w:t>
            </w:r>
            <w:r w:rsidRPr="00F926E4">
              <w:t>from finding that a v</w:t>
            </w:r>
            <w:r>
              <w:t>erba</w:t>
            </w:r>
            <w:r w:rsidRPr="00F926E4">
              <w:t>l statement in a</w:t>
            </w:r>
            <w:r>
              <w:t>n</w:t>
            </w:r>
            <w:r w:rsidRPr="00F926E4">
              <w:t xml:space="preserve"> advertisement is noncompliant with this provision if the statement is</w:t>
            </w:r>
            <w:r>
              <w:t xml:space="preserve"> made at approximately the same volume and uses approximately the same number of words per minute as the voice-over of longest duration in the advertisement other than information requir</w:t>
            </w:r>
            <w:r>
              <w:t>ed by the bill's provisions.</w:t>
            </w:r>
          </w:p>
          <w:p w:rsidR="00A56C08" w:rsidRDefault="00636623" w:rsidP="005A0875">
            <w:pPr>
              <w:pStyle w:val="Header"/>
              <w:jc w:val="both"/>
            </w:pPr>
          </w:p>
          <w:p w:rsidR="00A56C08" w:rsidRDefault="00636623" w:rsidP="005A0875">
            <w:pPr>
              <w:pStyle w:val="Header"/>
              <w:jc w:val="both"/>
            </w:pPr>
            <w:r>
              <w:t xml:space="preserve">S.B. 1189 </w:t>
            </w:r>
            <w:r>
              <w:t>establishes that a violation of the bill's provisions is a deceptive</w:t>
            </w:r>
            <w:r>
              <w:t xml:space="preserve"> act or practice actionable under the Deceptive Trade Practices-Consumer Protection Act and may be enforced by the attorney general or a district or county </w:t>
            </w:r>
            <w:r>
              <w:t>attorney</w:t>
            </w:r>
            <w:r>
              <w:t>. The bill establishes that all remedies available under that act are available for a violat</w:t>
            </w:r>
            <w:r>
              <w:t>ion of the bill's provisions</w:t>
            </w:r>
            <w:r>
              <w:t xml:space="preserve"> but</w:t>
            </w:r>
            <w:r>
              <w:t xml:space="preserve"> that the bill's provisions do not create a private cause of action.</w:t>
            </w:r>
            <w:r>
              <w:t xml:space="preserve"> </w:t>
            </w:r>
            <w:r>
              <w:t xml:space="preserve">The bill </w:t>
            </w:r>
            <w:r>
              <w:t xml:space="preserve">exempts an advertisement by a </w:t>
            </w:r>
            <w:r w:rsidRPr="001C6763">
              <w:t>federal, state, or local government entity</w:t>
            </w:r>
            <w:r>
              <w:t xml:space="preserve"> from the application of its provisions and </w:t>
            </w:r>
            <w:r>
              <w:t xml:space="preserve">prohibits </w:t>
            </w:r>
            <w:r>
              <w:t xml:space="preserve">those </w:t>
            </w:r>
            <w:r>
              <w:t>provisions</w:t>
            </w:r>
            <w:r>
              <w:t xml:space="preserve"> from being </w:t>
            </w:r>
            <w:r w:rsidRPr="00A455BD">
              <w:t>construed to limit or otherwise affect the authority of the Supreme Court of Texas to regulate the practice of law, enforce the Texas Disciplinary Rules of Professional Conduct, or discipline persons admitted to the state bar.</w:t>
            </w:r>
            <w:r>
              <w:t xml:space="preserve"> </w:t>
            </w:r>
          </w:p>
          <w:p w:rsidR="008423E4" w:rsidRPr="00835628" w:rsidRDefault="00636623" w:rsidP="005A0875">
            <w:pPr>
              <w:rPr>
                <w:b/>
              </w:rPr>
            </w:pPr>
          </w:p>
        </w:tc>
      </w:tr>
      <w:tr w:rsidR="00E2219F" w:rsidTr="00345119">
        <w:tc>
          <w:tcPr>
            <w:tcW w:w="9576" w:type="dxa"/>
          </w:tcPr>
          <w:p w:rsidR="008423E4" w:rsidRPr="00A8133F" w:rsidRDefault="00636623" w:rsidP="005A0875">
            <w:pPr>
              <w:rPr>
                <w:b/>
              </w:rPr>
            </w:pPr>
            <w:r w:rsidRPr="009C1E9A">
              <w:rPr>
                <w:b/>
                <w:u w:val="single"/>
              </w:rPr>
              <w:t>EFFECTIVE DATE</w:t>
            </w:r>
            <w:r>
              <w:rPr>
                <w:b/>
              </w:rPr>
              <w:t xml:space="preserve"> </w:t>
            </w:r>
          </w:p>
          <w:p w:rsidR="008423E4" w:rsidRDefault="00636623" w:rsidP="005A0875"/>
          <w:p w:rsidR="008423E4" w:rsidRPr="003624F2" w:rsidRDefault="00636623" w:rsidP="005A0875">
            <w:pPr>
              <w:pStyle w:val="Header"/>
              <w:tabs>
                <w:tab w:val="clear" w:pos="4320"/>
                <w:tab w:val="clear" w:pos="8640"/>
              </w:tabs>
              <w:jc w:val="both"/>
            </w:pPr>
            <w:r>
              <w:t>September 1, 2019.</w:t>
            </w:r>
          </w:p>
          <w:p w:rsidR="008423E4" w:rsidRPr="00233FDB" w:rsidRDefault="00636623" w:rsidP="005A0875">
            <w:pPr>
              <w:rPr>
                <w:b/>
              </w:rPr>
            </w:pPr>
          </w:p>
        </w:tc>
      </w:tr>
    </w:tbl>
    <w:p w:rsidR="008423E4" w:rsidRPr="00BE0E75" w:rsidRDefault="00636623" w:rsidP="008423E4">
      <w:pPr>
        <w:spacing w:line="480" w:lineRule="auto"/>
        <w:jc w:val="both"/>
        <w:rPr>
          <w:rFonts w:ascii="Arial" w:hAnsi="Arial"/>
          <w:sz w:val="16"/>
          <w:szCs w:val="16"/>
        </w:rPr>
      </w:pPr>
    </w:p>
    <w:p w:rsidR="004108C3" w:rsidRPr="008423E4" w:rsidRDefault="0063662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6623">
      <w:r>
        <w:separator/>
      </w:r>
    </w:p>
  </w:endnote>
  <w:endnote w:type="continuationSeparator" w:id="0">
    <w:p w:rsidR="00000000" w:rsidRDefault="0063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36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2219F" w:rsidTr="009C1E9A">
      <w:trPr>
        <w:cantSplit/>
      </w:trPr>
      <w:tc>
        <w:tcPr>
          <w:tcW w:w="0" w:type="pct"/>
        </w:tcPr>
        <w:p w:rsidR="00137D90" w:rsidRDefault="00636623" w:rsidP="009C1E9A">
          <w:pPr>
            <w:pStyle w:val="Footer"/>
            <w:tabs>
              <w:tab w:val="clear" w:pos="8640"/>
              <w:tab w:val="right" w:pos="9360"/>
            </w:tabs>
          </w:pPr>
        </w:p>
      </w:tc>
      <w:tc>
        <w:tcPr>
          <w:tcW w:w="2395" w:type="pct"/>
        </w:tcPr>
        <w:p w:rsidR="00137D90" w:rsidRDefault="00636623" w:rsidP="009C1E9A">
          <w:pPr>
            <w:pStyle w:val="Footer"/>
            <w:tabs>
              <w:tab w:val="clear" w:pos="8640"/>
              <w:tab w:val="right" w:pos="9360"/>
            </w:tabs>
          </w:pPr>
        </w:p>
        <w:p w:rsidR="001A4310" w:rsidRDefault="00636623" w:rsidP="009C1E9A">
          <w:pPr>
            <w:pStyle w:val="Footer"/>
            <w:tabs>
              <w:tab w:val="clear" w:pos="8640"/>
              <w:tab w:val="right" w:pos="9360"/>
            </w:tabs>
          </w:pPr>
        </w:p>
        <w:p w:rsidR="00137D90" w:rsidRDefault="00636623" w:rsidP="009C1E9A">
          <w:pPr>
            <w:pStyle w:val="Footer"/>
            <w:tabs>
              <w:tab w:val="clear" w:pos="8640"/>
              <w:tab w:val="right" w:pos="9360"/>
            </w:tabs>
          </w:pPr>
        </w:p>
      </w:tc>
      <w:tc>
        <w:tcPr>
          <w:tcW w:w="2453" w:type="pct"/>
        </w:tcPr>
        <w:p w:rsidR="00137D90" w:rsidRDefault="00636623" w:rsidP="009C1E9A">
          <w:pPr>
            <w:pStyle w:val="Footer"/>
            <w:tabs>
              <w:tab w:val="clear" w:pos="8640"/>
              <w:tab w:val="right" w:pos="9360"/>
            </w:tabs>
            <w:jc w:val="right"/>
          </w:pPr>
        </w:p>
      </w:tc>
    </w:tr>
    <w:tr w:rsidR="00E2219F" w:rsidTr="009C1E9A">
      <w:trPr>
        <w:cantSplit/>
      </w:trPr>
      <w:tc>
        <w:tcPr>
          <w:tcW w:w="0" w:type="pct"/>
        </w:tcPr>
        <w:p w:rsidR="00EC379B" w:rsidRDefault="00636623" w:rsidP="009C1E9A">
          <w:pPr>
            <w:pStyle w:val="Footer"/>
            <w:tabs>
              <w:tab w:val="clear" w:pos="8640"/>
              <w:tab w:val="right" w:pos="9360"/>
            </w:tabs>
          </w:pPr>
        </w:p>
      </w:tc>
      <w:tc>
        <w:tcPr>
          <w:tcW w:w="2395" w:type="pct"/>
        </w:tcPr>
        <w:p w:rsidR="00EC379B" w:rsidRPr="009C1E9A" w:rsidRDefault="00636623" w:rsidP="009C1E9A">
          <w:pPr>
            <w:pStyle w:val="Footer"/>
            <w:tabs>
              <w:tab w:val="clear" w:pos="8640"/>
              <w:tab w:val="right" w:pos="9360"/>
            </w:tabs>
            <w:rPr>
              <w:rFonts w:ascii="Shruti" w:hAnsi="Shruti"/>
              <w:sz w:val="22"/>
            </w:rPr>
          </w:pPr>
          <w:r>
            <w:rPr>
              <w:rFonts w:ascii="Shruti" w:hAnsi="Shruti"/>
              <w:sz w:val="22"/>
            </w:rPr>
            <w:t>86R 28501</w:t>
          </w:r>
        </w:p>
      </w:tc>
      <w:tc>
        <w:tcPr>
          <w:tcW w:w="2453" w:type="pct"/>
        </w:tcPr>
        <w:p w:rsidR="00EC379B" w:rsidRDefault="00636623" w:rsidP="009C1E9A">
          <w:pPr>
            <w:pStyle w:val="Footer"/>
            <w:tabs>
              <w:tab w:val="clear" w:pos="8640"/>
              <w:tab w:val="right" w:pos="9360"/>
            </w:tabs>
            <w:jc w:val="right"/>
          </w:pPr>
          <w:r>
            <w:fldChar w:fldCharType="begin"/>
          </w:r>
          <w:r>
            <w:instrText xml:space="preserve"> DOCPROPERTY  OTID  \* MERGEFORMAT </w:instrText>
          </w:r>
          <w:r>
            <w:fldChar w:fldCharType="separate"/>
          </w:r>
          <w:r>
            <w:t>19.109.872</w:t>
          </w:r>
          <w:r>
            <w:fldChar w:fldCharType="end"/>
          </w:r>
        </w:p>
      </w:tc>
    </w:tr>
    <w:tr w:rsidR="00E2219F" w:rsidTr="009C1E9A">
      <w:trPr>
        <w:cantSplit/>
      </w:trPr>
      <w:tc>
        <w:tcPr>
          <w:tcW w:w="0" w:type="pct"/>
        </w:tcPr>
        <w:p w:rsidR="00EC379B" w:rsidRDefault="00636623" w:rsidP="009C1E9A">
          <w:pPr>
            <w:pStyle w:val="Footer"/>
            <w:tabs>
              <w:tab w:val="clear" w:pos="4320"/>
              <w:tab w:val="clear" w:pos="8640"/>
              <w:tab w:val="left" w:pos="2865"/>
            </w:tabs>
          </w:pPr>
        </w:p>
      </w:tc>
      <w:tc>
        <w:tcPr>
          <w:tcW w:w="2395" w:type="pct"/>
        </w:tcPr>
        <w:p w:rsidR="00EC379B" w:rsidRPr="009C1E9A" w:rsidRDefault="00636623" w:rsidP="009C1E9A">
          <w:pPr>
            <w:pStyle w:val="Footer"/>
            <w:tabs>
              <w:tab w:val="clear" w:pos="4320"/>
              <w:tab w:val="clear" w:pos="8640"/>
              <w:tab w:val="left" w:pos="2865"/>
            </w:tabs>
            <w:rPr>
              <w:rFonts w:ascii="Shruti" w:hAnsi="Shruti"/>
              <w:sz w:val="22"/>
            </w:rPr>
          </w:pPr>
        </w:p>
      </w:tc>
      <w:tc>
        <w:tcPr>
          <w:tcW w:w="2453" w:type="pct"/>
        </w:tcPr>
        <w:p w:rsidR="00EC379B" w:rsidRDefault="00636623" w:rsidP="006D504F">
          <w:pPr>
            <w:pStyle w:val="Footer"/>
            <w:rPr>
              <w:rStyle w:val="PageNumber"/>
            </w:rPr>
          </w:pPr>
        </w:p>
        <w:p w:rsidR="00EC379B" w:rsidRDefault="00636623" w:rsidP="009C1E9A">
          <w:pPr>
            <w:pStyle w:val="Footer"/>
            <w:tabs>
              <w:tab w:val="clear" w:pos="8640"/>
              <w:tab w:val="right" w:pos="9360"/>
            </w:tabs>
            <w:jc w:val="right"/>
          </w:pPr>
        </w:p>
      </w:tc>
    </w:tr>
    <w:tr w:rsidR="00E2219F" w:rsidTr="009C1E9A">
      <w:trPr>
        <w:cantSplit/>
        <w:trHeight w:val="323"/>
      </w:trPr>
      <w:tc>
        <w:tcPr>
          <w:tcW w:w="0" w:type="pct"/>
          <w:gridSpan w:val="3"/>
        </w:tcPr>
        <w:p w:rsidR="00EC379B" w:rsidRDefault="0063662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636623" w:rsidP="009C1E9A">
          <w:pPr>
            <w:pStyle w:val="Footer"/>
            <w:tabs>
              <w:tab w:val="clear" w:pos="8640"/>
              <w:tab w:val="right" w:pos="9360"/>
            </w:tabs>
            <w:jc w:val="center"/>
          </w:pPr>
        </w:p>
      </w:tc>
    </w:tr>
  </w:tbl>
  <w:p w:rsidR="00EC379B" w:rsidRPr="00FF6F72" w:rsidRDefault="0063662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3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6623">
      <w:r>
        <w:separator/>
      </w:r>
    </w:p>
  </w:footnote>
  <w:footnote w:type="continuationSeparator" w:id="0">
    <w:p w:rsidR="00000000" w:rsidRDefault="0063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36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36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3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A395A"/>
    <w:multiLevelType w:val="hybridMultilevel"/>
    <w:tmpl w:val="DED8A2F8"/>
    <w:lvl w:ilvl="0" w:tplc="08D429A4">
      <w:start w:val="1"/>
      <w:numFmt w:val="bullet"/>
      <w:lvlText w:val=""/>
      <w:lvlJc w:val="left"/>
      <w:pPr>
        <w:tabs>
          <w:tab w:val="num" w:pos="720"/>
        </w:tabs>
        <w:ind w:left="720" w:hanging="360"/>
      </w:pPr>
      <w:rPr>
        <w:rFonts w:ascii="Symbol" w:hAnsi="Symbol" w:hint="default"/>
      </w:rPr>
    </w:lvl>
    <w:lvl w:ilvl="1" w:tplc="C3120A02" w:tentative="1">
      <w:start w:val="1"/>
      <w:numFmt w:val="bullet"/>
      <w:lvlText w:val="o"/>
      <w:lvlJc w:val="left"/>
      <w:pPr>
        <w:ind w:left="1440" w:hanging="360"/>
      </w:pPr>
      <w:rPr>
        <w:rFonts w:ascii="Courier New" w:hAnsi="Courier New" w:cs="Courier New" w:hint="default"/>
      </w:rPr>
    </w:lvl>
    <w:lvl w:ilvl="2" w:tplc="5240E180" w:tentative="1">
      <w:start w:val="1"/>
      <w:numFmt w:val="bullet"/>
      <w:lvlText w:val=""/>
      <w:lvlJc w:val="left"/>
      <w:pPr>
        <w:ind w:left="2160" w:hanging="360"/>
      </w:pPr>
      <w:rPr>
        <w:rFonts w:ascii="Wingdings" w:hAnsi="Wingdings" w:hint="default"/>
      </w:rPr>
    </w:lvl>
    <w:lvl w:ilvl="3" w:tplc="821CE6F2" w:tentative="1">
      <w:start w:val="1"/>
      <w:numFmt w:val="bullet"/>
      <w:lvlText w:val=""/>
      <w:lvlJc w:val="left"/>
      <w:pPr>
        <w:ind w:left="2880" w:hanging="360"/>
      </w:pPr>
      <w:rPr>
        <w:rFonts w:ascii="Symbol" w:hAnsi="Symbol" w:hint="default"/>
      </w:rPr>
    </w:lvl>
    <w:lvl w:ilvl="4" w:tplc="95CA09C8" w:tentative="1">
      <w:start w:val="1"/>
      <w:numFmt w:val="bullet"/>
      <w:lvlText w:val="o"/>
      <w:lvlJc w:val="left"/>
      <w:pPr>
        <w:ind w:left="3600" w:hanging="360"/>
      </w:pPr>
      <w:rPr>
        <w:rFonts w:ascii="Courier New" w:hAnsi="Courier New" w:cs="Courier New" w:hint="default"/>
      </w:rPr>
    </w:lvl>
    <w:lvl w:ilvl="5" w:tplc="A510CC86" w:tentative="1">
      <w:start w:val="1"/>
      <w:numFmt w:val="bullet"/>
      <w:lvlText w:val=""/>
      <w:lvlJc w:val="left"/>
      <w:pPr>
        <w:ind w:left="4320" w:hanging="360"/>
      </w:pPr>
      <w:rPr>
        <w:rFonts w:ascii="Wingdings" w:hAnsi="Wingdings" w:hint="default"/>
      </w:rPr>
    </w:lvl>
    <w:lvl w:ilvl="6" w:tplc="B75CED4E" w:tentative="1">
      <w:start w:val="1"/>
      <w:numFmt w:val="bullet"/>
      <w:lvlText w:val=""/>
      <w:lvlJc w:val="left"/>
      <w:pPr>
        <w:ind w:left="5040" w:hanging="360"/>
      </w:pPr>
      <w:rPr>
        <w:rFonts w:ascii="Symbol" w:hAnsi="Symbol" w:hint="default"/>
      </w:rPr>
    </w:lvl>
    <w:lvl w:ilvl="7" w:tplc="71BE1996" w:tentative="1">
      <w:start w:val="1"/>
      <w:numFmt w:val="bullet"/>
      <w:lvlText w:val="o"/>
      <w:lvlJc w:val="left"/>
      <w:pPr>
        <w:ind w:left="5760" w:hanging="360"/>
      </w:pPr>
      <w:rPr>
        <w:rFonts w:ascii="Courier New" w:hAnsi="Courier New" w:cs="Courier New" w:hint="default"/>
      </w:rPr>
    </w:lvl>
    <w:lvl w:ilvl="8" w:tplc="F3801E88" w:tentative="1">
      <w:start w:val="1"/>
      <w:numFmt w:val="bullet"/>
      <w:lvlText w:val=""/>
      <w:lvlJc w:val="left"/>
      <w:pPr>
        <w:ind w:left="6480" w:hanging="360"/>
      </w:pPr>
      <w:rPr>
        <w:rFonts w:ascii="Wingdings" w:hAnsi="Wingdings" w:hint="default"/>
      </w:rPr>
    </w:lvl>
  </w:abstractNum>
  <w:abstractNum w:abstractNumId="1" w15:restartNumberingAfterBreak="0">
    <w:nsid w:val="6AD253B2"/>
    <w:multiLevelType w:val="hybridMultilevel"/>
    <w:tmpl w:val="3AF68134"/>
    <w:lvl w:ilvl="0" w:tplc="D6C605DE">
      <w:start w:val="1"/>
      <w:numFmt w:val="bullet"/>
      <w:lvlText w:val=""/>
      <w:lvlJc w:val="left"/>
      <w:pPr>
        <w:tabs>
          <w:tab w:val="num" w:pos="720"/>
        </w:tabs>
        <w:ind w:left="720" w:hanging="360"/>
      </w:pPr>
      <w:rPr>
        <w:rFonts w:ascii="Symbol" w:hAnsi="Symbol" w:hint="default"/>
      </w:rPr>
    </w:lvl>
    <w:lvl w:ilvl="1" w:tplc="67AE1510" w:tentative="1">
      <w:start w:val="1"/>
      <w:numFmt w:val="bullet"/>
      <w:lvlText w:val="o"/>
      <w:lvlJc w:val="left"/>
      <w:pPr>
        <w:ind w:left="1440" w:hanging="360"/>
      </w:pPr>
      <w:rPr>
        <w:rFonts w:ascii="Courier New" w:hAnsi="Courier New" w:cs="Courier New" w:hint="default"/>
      </w:rPr>
    </w:lvl>
    <w:lvl w:ilvl="2" w:tplc="638206F4" w:tentative="1">
      <w:start w:val="1"/>
      <w:numFmt w:val="bullet"/>
      <w:lvlText w:val=""/>
      <w:lvlJc w:val="left"/>
      <w:pPr>
        <w:ind w:left="2160" w:hanging="360"/>
      </w:pPr>
      <w:rPr>
        <w:rFonts w:ascii="Wingdings" w:hAnsi="Wingdings" w:hint="default"/>
      </w:rPr>
    </w:lvl>
    <w:lvl w:ilvl="3" w:tplc="3D08CA1C" w:tentative="1">
      <w:start w:val="1"/>
      <w:numFmt w:val="bullet"/>
      <w:lvlText w:val=""/>
      <w:lvlJc w:val="left"/>
      <w:pPr>
        <w:ind w:left="2880" w:hanging="360"/>
      </w:pPr>
      <w:rPr>
        <w:rFonts w:ascii="Symbol" w:hAnsi="Symbol" w:hint="default"/>
      </w:rPr>
    </w:lvl>
    <w:lvl w:ilvl="4" w:tplc="3128357E" w:tentative="1">
      <w:start w:val="1"/>
      <w:numFmt w:val="bullet"/>
      <w:lvlText w:val="o"/>
      <w:lvlJc w:val="left"/>
      <w:pPr>
        <w:ind w:left="3600" w:hanging="360"/>
      </w:pPr>
      <w:rPr>
        <w:rFonts w:ascii="Courier New" w:hAnsi="Courier New" w:cs="Courier New" w:hint="default"/>
      </w:rPr>
    </w:lvl>
    <w:lvl w:ilvl="5" w:tplc="B414DEBC" w:tentative="1">
      <w:start w:val="1"/>
      <w:numFmt w:val="bullet"/>
      <w:lvlText w:val=""/>
      <w:lvlJc w:val="left"/>
      <w:pPr>
        <w:ind w:left="4320" w:hanging="360"/>
      </w:pPr>
      <w:rPr>
        <w:rFonts w:ascii="Wingdings" w:hAnsi="Wingdings" w:hint="default"/>
      </w:rPr>
    </w:lvl>
    <w:lvl w:ilvl="6" w:tplc="4E0EFFF8" w:tentative="1">
      <w:start w:val="1"/>
      <w:numFmt w:val="bullet"/>
      <w:lvlText w:val=""/>
      <w:lvlJc w:val="left"/>
      <w:pPr>
        <w:ind w:left="5040" w:hanging="360"/>
      </w:pPr>
      <w:rPr>
        <w:rFonts w:ascii="Symbol" w:hAnsi="Symbol" w:hint="default"/>
      </w:rPr>
    </w:lvl>
    <w:lvl w:ilvl="7" w:tplc="741259F8" w:tentative="1">
      <w:start w:val="1"/>
      <w:numFmt w:val="bullet"/>
      <w:lvlText w:val="o"/>
      <w:lvlJc w:val="left"/>
      <w:pPr>
        <w:ind w:left="5760" w:hanging="360"/>
      </w:pPr>
      <w:rPr>
        <w:rFonts w:ascii="Courier New" w:hAnsi="Courier New" w:cs="Courier New" w:hint="default"/>
      </w:rPr>
    </w:lvl>
    <w:lvl w:ilvl="8" w:tplc="1A581F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9F"/>
    <w:rsid w:val="00636623"/>
    <w:rsid w:val="00E2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E7321B-D947-4CAE-9C38-96977891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83097"/>
    <w:rPr>
      <w:sz w:val="16"/>
      <w:szCs w:val="16"/>
    </w:rPr>
  </w:style>
  <w:style w:type="paragraph" w:styleId="CommentText">
    <w:name w:val="annotation text"/>
    <w:basedOn w:val="Normal"/>
    <w:link w:val="CommentTextChar"/>
    <w:semiHidden/>
    <w:unhideWhenUsed/>
    <w:rsid w:val="00A83097"/>
    <w:rPr>
      <w:sz w:val="20"/>
      <w:szCs w:val="20"/>
    </w:rPr>
  </w:style>
  <w:style w:type="character" w:customStyle="1" w:styleId="CommentTextChar">
    <w:name w:val="Comment Text Char"/>
    <w:basedOn w:val="DefaultParagraphFont"/>
    <w:link w:val="CommentText"/>
    <w:semiHidden/>
    <w:rsid w:val="00A83097"/>
  </w:style>
  <w:style w:type="paragraph" w:styleId="CommentSubject">
    <w:name w:val="annotation subject"/>
    <w:basedOn w:val="CommentText"/>
    <w:next w:val="CommentText"/>
    <w:link w:val="CommentSubjectChar"/>
    <w:semiHidden/>
    <w:unhideWhenUsed/>
    <w:rsid w:val="00A83097"/>
    <w:rPr>
      <w:b/>
      <w:bCs/>
    </w:rPr>
  </w:style>
  <w:style w:type="character" w:customStyle="1" w:styleId="CommentSubjectChar">
    <w:name w:val="Comment Subject Char"/>
    <w:basedOn w:val="CommentTextChar"/>
    <w:link w:val="CommentSubject"/>
    <w:semiHidden/>
    <w:rsid w:val="00A83097"/>
    <w:rPr>
      <w:b/>
      <w:bCs/>
    </w:rPr>
  </w:style>
  <w:style w:type="paragraph" w:styleId="Revision">
    <w:name w:val="Revision"/>
    <w:hidden/>
    <w:uiPriority w:val="99"/>
    <w:semiHidden/>
    <w:rsid w:val="00410D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4401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BA - SB01189 (Committee Report (Unamended))</vt:lpstr>
    </vt:vector>
  </TitlesOfParts>
  <Company>State of Texas</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28501</dc:subject>
  <dc:creator>State of Texas</dc:creator>
  <dc:description>SB 1189 by Buckingham-(H)Judiciary &amp; Civil Jurisprudence</dc:description>
  <cp:lastModifiedBy>Laura Ramsay</cp:lastModifiedBy>
  <cp:revision>2</cp:revision>
  <cp:lastPrinted>2003-11-26T17:21:00Z</cp:lastPrinted>
  <dcterms:created xsi:type="dcterms:W3CDTF">2019-05-01T16:53:00Z</dcterms:created>
  <dcterms:modified xsi:type="dcterms:W3CDTF">2019-05-01T16:53:00Z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19.109.872</vt:lpwstr>
  </property>
</Properties>
</file>