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EE2BDA" w:rsidTr="00345119">
        <w:tc>
          <w:tcPr>
            <w:tcW w:w="9576" w:type="dxa"/>
            <w:noWrap/>
          </w:tcPr>
          <w:p w:rsidR="008423E4" w:rsidRPr="0022177D" w:rsidRDefault="00CD493A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CD493A" w:rsidP="008423E4">
      <w:pPr>
        <w:jc w:val="center"/>
      </w:pPr>
    </w:p>
    <w:p w:rsidR="008423E4" w:rsidRPr="00B31F0E" w:rsidRDefault="00CD493A" w:rsidP="008423E4"/>
    <w:p w:rsidR="008423E4" w:rsidRPr="00742794" w:rsidRDefault="00CD493A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EE2BDA" w:rsidTr="00345119">
        <w:tc>
          <w:tcPr>
            <w:tcW w:w="9576" w:type="dxa"/>
          </w:tcPr>
          <w:p w:rsidR="008423E4" w:rsidRPr="00861995" w:rsidRDefault="00CD493A" w:rsidP="00345119">
            <w:pPr>
              <w:jc w:val="right"/>
            </w:pPr>
            <w:r>
              <w:t>S.B. 1235</w:t>
            </w:r>
          </w:p>
        </w:tc>
      </w:tr>
      <w:tr w:rsidR="00EE2BDA" w:rsidTr="00345119">
        <w:tc>
          <w:tcPr>
            <w:tcW w:w="9576" w:type="dxa"/>
          </w:tcPr>
          <w:p w:rsidR="008423E4" w:rsidRPr="00861995" w:rsidRDefault="00CD493A" w:rsidP="00117734">
            <w:pPr>
              <w:jc w:val="right"/>
            </w:pPr>
            <w:r>
              <w:t xml:space="preserve">By: </w:t>
            </w:r>
            <w:r>
              <w:t>Buckingham</w:t>
            </w:r>
          </w:p>
        </w:tc>
      </w:tr>
      <w:tr w:rsidR="00EE2BDA" w:rsidTr="00345119">
        <w:tc>
          <w:tcPr>
            <w:tcW w:w="9576" w:type="dxa"/>
          </w:tcPr>
          <w:p w:rsidR="008423E4" w:rsidRPr="00861995" w:rsidRDefault="00CD493A" w:rsidP="00345119">
            <w:pPr>
              <w:jc w:val="right"/>
            </w:pPr>
            <w:r>
              <w:t>Human Services</w:t>
            </w:r>
          </w:p>
        </w:tc>
      </w:tr>
      <w:tr w:rsidR="00EE2BDA" w:rsidTr="00345119">
        <w:tc>
          <w:tcPr>
            <w:tcW w:w="9576" w:type="dxa"/>
          </w:tcPr>
          <w:p w:rsidR="008423E4" w:rsidRDefault="00CD493A" w:rsidP="00117734">
            <w:pPr>
              <w:jc w:val="right"/>
            </w:pPr>
            <w:r>
              <w:t>Committee Report (Unamended)</w:t>
            </w:r>
          </w:p>
        </w:tc>
      </w:tr>
    </w:tbl>
    <w:p w:rsidR="008423E4" w:rsidRDefault="00CD493A" w:rsidP="008423E4">
      <w:pPr>
        <w:tabs>
          <w:tab w:val="right" w:pos="9360"/>
        </w:tabs>
      </w:pPr>
    </w:p>
    <w:p w:rsidR="008423E4" w:rsidRDefault="00CD493A" w:rsidP="008423E4"/>
    <w:p w:rsidR="008423E4" w:rsidRDefault="00CD493A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EE2BDA" w:rsidTr="00345119">
        <w:tc>
          <w:tcPr>
            <w:tcW w:w="9576" w:type="dxa"/>
          </w:tcPr>
          <w:p w:rsidR="008423E4" w:rsidRPr="00A8133F" w:rsidRDefault="00CD493A" w:rsidP="00C71081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CD493A" w:rsidP="00C71081"/>
          <w:p w:rsidR="002F4CFC" w:rsidRDefault="00CD493A" w:rsidP="00C71081">
            <w:pPr>
              <w:pStyle w:val="Header"/>
              <w:jc w:val="both"/>
            </w:pPr>
            <w:r>
              <w:t xml:space="preserve">Concerns have been raised that while Texas continues to face a Medicaid provider shortage, especially in rural and underserved areas, inefficiencies </w:t>
            </w:r>
            <w:r>
              <w:t xml:space="preserve">in </w:t>
            </w:r>
            <w:r>
              <w:t>the</w:t>
            </w:r>
            <w:r>
              <w:t xml:space="preserve"> current provider enrollment </w:t>
            </w:r>
            <w:r>
              <w:t>process</w:t>
            </w:r>
            <w:r>
              <w:t xml:space="preserve"> may </w:t>
            </w:r>
            <w:r>
              <w:t xml:space="preserve">cause </w:t>
            </w:r>
            <w:r>
              <w:t>lengthy and unnecessary delays</w:t>
            </w:r>
            <w:r>
              <w:t>.</w:t>
            </w:r>
            <w:r>
              <w:t xml:space="preserve"> </w:t>
            </w:r>
            <w:r>
              <w:t>In order to streamline</w:t>
            </w:r>
            <w:r>
              <w:t xml:space="preserve"> the provider enrollment process, </w:t>
            </w:r>
            <w:r>
              <w:t xml:space="preserve">S.B. 1235 seeks </w:t>
            </w:r>
            <w:r>
              <w:t xml:space="preserve">to </w:t>
            </w:r>
            <w:r>
              <w:t>implement</w:t>
            </w:r>
            <w:r>
              <w:t xml:space="preserve"> a “no wrong door” policy </w:t>
            </w:r>
            <w:r>
              <w:t>by</w:t>
            </w:r>
            <w:r>
              <w:t xml:space="preserve"> allowing</w:t>
            </w:r>
            <w:r>
              <w:t>,</w:t>
            </w:r>
            <w:r>
              <w:t xml:space="preserve"> </w:t>
            </w:r>
            <w:r>
              <w:t xml:space="preserve">in addition to the existing process, </w:t>
            </w:r>
            <w:r>
              <w:t>enrollment</w:t>
            </w:r>
            <w:r>
              <w:t xml:space="preserve"> as a Medicare provider</w:t>
            </w:r>
            <w:r>
              <w:t xml:space="preserve"> </w:t>
            </w:r>
            <w:r>
              <w:t>or</w:t>
            </w:r>
            <w:r>
              <w:t xml:space="preserve"> </w:t>
            </w:r>
            <w:r>
              <w:t>being credentialed by a</w:t>
            </w:r>
            <w:r>
              <w:t xml:space="preserve"> </w:t>
            </w:r>
            <w:r>
              <w:t xml:space="preserve">managed care organization </w:t>
            </w:r>
            <w:r>
              <w:t>to count as Medicaid</w:t>
            </w:r>
            <w:r>
              <w:t xml:space="preserve"> provider</w:t>
            </w:r>
            <w:r>
              <w:t xml:space="preserve"> e</w:t>
            </w:r>
            <w:r>
              <w:t>nrollment.</w:t>
            </w:r>
          </w:p>
          <w:p w:rsidR="008423E4" w:rsidRPr="00E26B13" w:rsidRDefault="00CD493A" w:rsidP="00C71081">
            <w:pPr>
              <w:pStyle w:val="Header"/>
              <w:jc w:val="both"/>
              <w:rPr>
                <w:b/>
              </w:rPr>
            </w:pPr>
            <w:r>
              <w:t xml:space="preserve"> </w:t>
            </w:r>
          </w:p>
        </w:tc>
      </w:tr>
      <w:tr w:rsidR="00EE2BDA" w:rsidTr="00345119">
        <w:tc>
          <w:tcPr>
            <w:tcW w:w="9576" w:type="dxa"/>
          </w:tcPr>
          <w:p w:rsidR="0017725B" w:rsidRDefault="00CD493A" w:rsidP="00C7108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CD493A" w:rsidP="00C71081">
            <w:pPr>
              <w:rPr>
                <w:b/>
                <w:u w:val="single"/>
              </w:rPr>
            </w:pPr>
          </w:p>
          <w:p w:rsidR="0033630E" w:rsidRPr="0033630E" w:rsidRDefault="00CD493A" w:rsidP="00C71081">
            <w:pPr>
              <w:jc w:val="both"/>
            </w:pPr>
            <w:r>
              <w:t xml:space="preserve">It is the committee's opinion that this bill does not expressly create a criminal offense, increase the punishment for an existing criminal offense or category of offenses, or change the eligibility of a person for </w:t>
            </w:r>
            <w:r>
              <w:t>community supervision, parole, or mandatory supervision.</w:t>
            </w:r>
          </w:p>
          <w:p w:rsidR="0017725B" w:rsidRPr="00423C91" w:rsidRDefault="00CD493A" w:rsidP="00C71081">
            <w:pPr>
              <w:rPr>
                <w:b/>
                <w:sz w:val="22"/>
                <w:u w:val="single"/>
              </w:rPr>
            </w:pPr>
          </w:p>
        </w:tc>
      </w:tr>
      <w:tr w:rsidR="00EE2BDA" w:rsidTr="00345119">
        <w:tc>
          <w:tcPr>
            <w:tcW w:w="9576" w:type="dxa"/>
          </w:tcPr>
          <w:p w:rsidR="008423E4" w:rsidRPr="00A8133F" w:rsidRDefault="00CD493A" w:rsidP="00C71081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Pr="00423C91" w:rsidRDefault="00CD493A" w:rsidP="00C71081">
            <w:pPr>
              <w:rPr>
                <w:sz w:val="22"/>
              </w:rPr>
            </w:pPr>
          </w:p>
          <w:p w:rsidR="0033630E" w:rsidRDefault="00CD493A" w:rsidP="00C7108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rulemaking authority is expressly granted to the executive commissioner of the Health and Human Services Commission in SECTION 1 of this </w:t>
            </w:r>
            <w:r>
              <w:t>bill.</w:t>
            </w:r>
          </w:p>
          <w:p w:rsidR="008423E4" w:rsidRPr="00423C91" w:rsidRDefault="00CD493A" w:rsidP="00C71081">
            <w:pPr>
              <w:rPr>
                <w:b/>
                <w:sz w:val="22"/>
              </w:rPr>
            </w:pPr>
          </w:p>
        </w:tc>
      </w:tr>
      <w:tr w:rsidR="00EE2BDA" w:rsidTr="00345119">
        <w:tc>
          <w:tcPr>
            <w:tcW w:w="9576" w:type="dxa"/>
          </w:tcPr>
          <w:p w:rsidR="008423E4" w:rsidRPr="00A8133F" w:rsidRDefault="00CD493A" w:rsidP="00C71081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Pr="00423C91" w:rsidRDefault="00CD493A" w:rsidP="00C71081">
            <w:pPr>
              <w:rPr>
                <w:sz w:val="22"/>
              </w:rPr>
            </w:pPr>
          </w:p>
          <w:p w:rsidR="008D5620" w:rsidRDefault="00CD493A" w:rsidP="00C71081">
            <w:pPr>
              <w:pStyle w:val="Header"/>
              <w:jc w:val="both"/>
            </w:pPr>
            <w:r w:rsidRPr="009B3A62">
              <w:t>S.B. 1235</w:t>
            </w:r>
            <w:r>
              <w:t xml:space="preserve"> </w:t>
            </w:r>
            <w:r>
              <w:t>amends the Government Code to require the Health and Human Services Commission (HHSC)</w:t>
            </w:r>
            <w:r>
              <w:t xml:space="preserve">, in </w:t>
            </w:r>
            <w:r>
              <w:t>exercising its authority to designate</w:t>
            </w:r>
            <w:r>
              <w:t xml:space="preserve"> a centralized credentialing entity for purposes of streamlining the Medicaid provider credentialing</w:t>
            </w:r>
            <w:r>
              <w:t xml:space="preserve"> process, to require that entity and the entity serving as the state's Medicaid claims administrator </w:t>
            </w:r>
            <w:r>
              <w:t xml:space="preserve">to </w:t>
            </w:r>
            <w:r>
              <w:t>share information to reduce the submission of duplicative information or documents necessary for both Medicaid enrollment and credentialing. The bill re</w:t>
            </w:r>
            <w:r>
              <w:t xml:space="preserve">moves the </w:t>
            </w:r>
            <w:r>
              <w:t xml:space="preserve">specification </w:t>
            </w:r>
            <w:r>
              <w:t>authoriz</w:t>
            </w:r>
            <w:r>
              <w:t>ing</w:t>
            </w:r>
            <w:r>
              <w:t xml:space="preserve"> HHSC </w:t>
            </w:r>
            <w:r>
              <w:t xml:space="preserve">to </w:t>
            </w:r>
            <w:r>
              <w:t xml:space="preserve">share information in the </w:t>
            </w:r>
            <w:r>
              <w:t>Medicaid</w:t>
            </w:r>
            <w:r w:rsidRPr="00B0318C">
              <w:t xml:space="preserve"> provider database</w:t>
            </w:r>
            <w:r>
              <w:t xml:space="preserve"> with the credentialing entity. </w:t>
            </w:r>
          </w:p>
          <w:p w:rsidR="008D5620" w:rsidRPr="00423C91" w:rsidRDefault="00CD493A" w:rsidP="00C71081">
            <w:pPr>
              <w:pStyle w:val="Header"/>
              <w:jc w:val="both"/>
              <w:rPr>
                <w:sz w:val="22"/>
              </w:rPr>
            </w:pPr>
          </w:p>
          <w:p w:rsidR="0060051C" w:rsidRDefault="00CD493A" w:rsidP="00C71081">
            <w:pPr>
              <w:pStyle w:val="Header"/>
              <w:jc w:val="both"/>
            </w:pPr>
            <w:r>
              <w:t xml:space="preserve">S.B. 1235 </w:t>
            </w:r>
            <w:r>
              <w:t>authorizes the executive commissioner of HHSC by rule to establish additional enrollment requirements that are necess</w:t>
            </w:r>
            <w:r>
              <w:t xml:space="preserve">ary to enroll a provider as a Medicaid provider and are not otherwise required by </w:t>
            </w:r>
            <w:r>
              <w:t xml:space="preserve">managed care organization (MCO) </w:t>
            </w:r>
            <w:r>
              <w:t xml:space="preserve">credentialing or Medicare provider enrollment. The bill </w:t>
            </w:r>
            <w:r>
              <w:t>requires HHSC</w:t>
            </w:r>
            <w:r>
              <w:t xml:space="preserve"> to take the following actions:</w:t>
            </w:r>
          </w:p>
          <w:p w:rsidR="0060051C" w:rsidRDefault="00CD493A" w:rsidP="00C71081">
            <w:pPr>
              <w:pStyle w:val="Header"/>
              <w:numPr>
                <w:ilvl w:val="0"/>
                <w:numId w:val="1"/>
              </w:numPr>
              <w:spacing w:before="120" w:after="120"/>
              <w:jc w:val="both"/>
            </w:pPr>
            <w:r>
              <w:t>subject to any such additional requiremen</w:t>
            </w:r>
            <w:r>
              <w:t>ts,</w:t>
            </w:r>
            <w:r>
              <w:t xml:space="preserve"> </w:t>
            </w:r>
            <w:r w:rsidRPr="0033630E">
              <w:t xml:space="preserve">enroll </w:t>
            </w:r>
            <w:r w:rsidRPr="0033630E">
              <w:t xml:space="preserve">as a Medicaid provider </w:t>
            </w:r>
            <w:r w:rsidRPr="0033630E">
              <w:t xml:space="preserve">a provider </w:t>
            </w:r>
            <w:r>
              <w:t>that is credentialed by an MCO that contracts with HHSC under the Medicaid managed care program or is enrolled as a Medicare provider</w:t>
            </w:r>
            <w:r w:rsidRPr="0033630E">
              <w:t xml:space="preserve"> without requiring the provider to apply </w:t>
            </w:r>
            <w:r w:rsidRPr="0033630E">
              <w:t xml:space="preserve">separately </w:t>
            </w:r>
            <w:r w:rsidRPr="0033630E">
              <w:t xml:space="preserve">for </w:t>
            </w:r>
            <w:r>
              <w:t xml:space="preserve">Medicaid provider </w:t>
            </w:r>
            <w:r w:rsidRPr="0033630E">
              <w:t>enrollment through the entity serving as the state's Medicaid claims ad</w:t>
            </w:r>
            <w:r>
              <w:t>ministrator</w:t>
            </w:r>
            <w:r>
              <w:t>;</w:t>
            </w:r>
          </w:p>
          <w:p w:rsidR="0060051C" w:rsidRDefault="00CD493A" w:rsidP="00C71081">
            <w:pPr>
              <w:pStyle w:val="Header"/>
              <w:numPr>
                <w:ilvl w:val="0"/>
                <w:numId w:val="1"/>
              </w:numPr>
              <w:spacing w:before="120" w:after="120"/>
              <w:jc w:val="both"/>
            </w:pPr>
            <w:r>
              <w:t>t</w:t>
            </w:r>
            <w:r w:rsidRPr="0033630E">
              <w:t xml:space="preserve">rack the number of providers that enroll as Medicaid providers through </w:t>
            </w:r>
            <w:r>
              <w:t>each type of enrollment process</w:t>
            </w:r>
            <w:r>
              <w:t xml:space="preserve"> described by the bill</w:t>
            </w:r>
            <w:r>
              <w:t>;</w:t>
            </w:r>
          </w:p>
          <w:p w:rsidR="006D0DC9" w:rsidRDefault="00CD493A" w:rsidP="00C71081">
            <w:pPr>
              <w:pStyle w:val="Header"/>
              <w:numPr>
                <w:ilvl w:val="0"/>
                <w:numId w:val="1"/>
              </w:numPr>
              <w:spacing w:before="120" w:after="120"/>
              <w:jc w:val="both"/>
            </w:pPr>
            <w:r>
              <w:t xml:space="preserve">develop a process to streamline the Medicaid </w:t>
            </w:r>
            <w:r>
              <w:t>enrollment of a provider who:</w:t>
            </w:r>
          </w:p>
          <w:p w:rsidR="006D0DC9" w:rsidRDefault="00CD493A" w:rsidP="00C71081">
            <w:pPr>
              <w:pStyle w:val="Header"/>
              <w:numPr>
                <w:ilvl w:val="1"/>
                <w:numId w:val="1"/>
              </w:numPr>
              <w:spacing w:before="120" w:after="120"/>
              <w:jc w:val="both"/>
            </w:pPr>
            <w:r>
              <w:t>provides services</w:t>
            </w:r>
            <w:r>
              <w:t xml:space="preserve"> through a single case agreement</w:t>
            </w:r>
            <w:r>
              <w:t xml:space="preserve"> to a recipient who is also enrolled in a private group health benefit plan; and</w:t>
            </w:r>
          </w:p>
          <w:p w:rsidR="006D0DC9" w:rsidRDefault="00CD493A" w:rsidP="00C71081">
            <w:pPr>
              <w:pStyle w:val="Header"/>
              <w:numPr>
                <w:ilvl w:val="1"/>
                <w:numId w:val="1"/>
              </w:numPr>
              <w:spacing w:before="120" w:after="120"/>
              <w:jc w:val="both"/>
            </w:pPr>
            <w:r>
              <w:t>is enrolled as a provider in that group health benefit plan; and</w:t>
            </w:r>
          </w:p>
          <w:p w:rsidR="008423E4" w:rsidRDefault="00CD493A" w:rsidP="00C71081">
            <w:pPr>
              <w:pStyle w:val="Header"/>
              <w:numPr>
                <w:ilvl w:val="0"/>
                <w:numId w:val="1"/>
              </w:numPr>
              <w:spacing w:before="120" w:after="120"/>
              <w:jc w:val="both"/>
            </w:pPr>
            <w:r>
              <w:t xml:space="preserve">use </w:t>
            </w:r>
            <w:r>
              <w:t xml:space="preserve">a provider's national provider identifier number </w:t>
            </w:r>
            <w:r>
              <w:t>for purposes of enrollment</w:t>
            </w:r>
            <w:r>
              <w:t xml:space="preserve"> under th</w:t>
            </w:r>
            <w:r>
              <w:t>at</w:t>
            </w:r>
            <w:r>
              <w:t xml:space="preserve"> </w:t>
            </w:r>
            <w:r>
              <w:t xml:space="preserve">streamlined </w:t>
            </w:r>
            <w:r>
              <w:t>pro</w:t>
            </w:r>
            <w:r>
              <w:t>c</w:t>
            </w:r>
            <w:r>
              <w:t>ess</w:t>
            </w:r>
            <w:r>
              <w:t xml:space="preserve">. </w:t>
            </w:r>
          </w:p>
          <w:p w:rsidR="008423E4" w:rsidRDefault="00CD493A" w:rsidP="00C71081">
            <w:pPr>
              <w:jc w:val="both"/>
            </w:pPr>
            <w:r>
              <w:t xml:space="preserve">The bill </w:t>
            </w:r>
            <w:r>
              <w:t xml:space="preserve">provides that </w:t>
            </w:r>
            <w:r>
              <w:t>HHSC</w:t>
            </w:r>
            <w:r w:rsidRPr="00AE6D6C">
              <w:t xml:space="preserve"> is required to implement a provision of this </w:t>
            </w:r>
            <w:r>
              <w:t>bill</w:t>
            </w:r>
            <w:r w:rsidRPr="00AE6D6C">
              <w:t xml:space="preserve"> only if the legislature appropriates money specifically for that purp</w:t>
            </w:r>
            <w:r w:rsidRPr="00AE6D6C">
              <w:t>ose</w:t>
            </w:r>
            <w:r>
              <w:t xml:space="preserve"> and</w:t>
            </w:r>
            <w:r>
              <w:t>,</w:t>
            </w:r>
            <w:r>
              <w:t xml:space="preserve"> if not, that HHSC</w:t>
            </w:r>
            <w:r w:rsidRPr="00AE6D6C">
              <w:t xml:space="preserve"> may, but is not requ</w:t>
            </w:r>
            <w:r>
              <w:t>ired to, implement such a provision</w:t>
            </w:r>
            <w:r w:rsidRPr="00AE6D6C">
              <w:t xml:space="preserve"> using other appropriations available for that purpose.</w:t>
            </w:r>
          </w:p>
          <w:p w:rsidR="006D0DC9" w:rsidRPr="00AE6D6C" w:rsidRDefault="00CD493A" w:rsidP="00C71081">
            <w:pPr>
              <w:jc w:val="both"/>
            </w:pPr>
          </w:p>
        </w:tc>
      </w:tr>
      <w:tr w:rsidR="00EE2BDA" w:rsidTr="00345119">
        <w:tc>
          <w:tcPr>
            <w:tcW w:w="9576" w:type="dxa"/>
          </w:tcPr>
          <w:p w:rsidR="008423E4" w:rsidRPr="00A8133F" w:rsidRDefault="00CD493A" w:rsidP="00C71081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CD493A" w:rsidP="00C71081"/>
          <w:p w:rsidR="008423E4" w:rsidRPr="003624F2" w:rsidRDefault="00CD493A" w:rsidP="00C7108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September 1, 2019. </w:t>
            </w:r>
          </w:p>
          <w:p w:rsidR="008423E4" w:rsidRPr="00233FDB" w:rsidRDefault="00CD493A" w:rsidP="00C71081">
            <w:pPr>
              <w:rPr>
                <w:b/>
              </w:rPr>
            </w:pPr>
          </w:p>
        </w:tc>
      </w:tr>
    </w:tbl>
    <w:p w:rsidR="008423E4" w:rsidRPr="00BE0E75" w:rsidRDefault="00CD493A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CD493A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CD493A">
      <w:r>
        <w:separator/>
      </w:r>
    </w:p>
  </w:endnote>
  <w:endnote w:type="continuationSeparator" w:id="0">
    <w:p w:rsidR="00000000" w:rsidRDefault="00CD4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CD493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EE2BDA" w:rsidTr="009C1E9A">
      <w:trPr>
        <w:cantSplit/>
      </w:trPr>
      <w:tc>
        <w:tcPr>
          <w:tcW w:w="0" w:type="pct"/>
        </w:tcPr>
        <w:p w:rsidR="00137D90" w:rsidRDefault="00CD493A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CD493A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CD493A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CD493A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CD493A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EE2BDA" w:rsidTr="009C1E9A">
      <w:trPr>
        <w:cantSplit/>
      </w:trPr>
      <w:tc>
        <w:tcPr>
          <w:tcW w:w="0" w:type="pct"/>
        </w:tcPr>
        <w:p w:rsidR="00EC379B" w:rsidRDefault="00CD493A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CD493A" w:rsidP="00117734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32523</w:t>
          </w:r>
        </w:p>
      </w:tc>
      <w:tc>
        <w:tcPr>
          <w:tcW w:w="2453" w:type="pct"/>
        </w:tcPr>
        <w:p w:rsidR="00EC379B" w:rsidRDefault="00CD493A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19.128.263</w:t>
          </w:r>
          <w:r>
            <w:fldChar w:fldCharType="end"/>
          </w:r>
        </w:p>
      </w:tc>
    </w:tr>
    <w:tr w:rsidR="00EE2BDA" w:rsidTr="009C1E9A">
      <w:trPr>
        <w:cantSplit/>
      </w:trPr>
      <w:tc>
        <w:tcPr>
          <w:tcW w:w="0" w:type="pct"/>
        </w:tcPr>
        <w:p w:rsidR="00EC379B" w:rsidRDefault="00CD493A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CD493A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CD493A" w:rsidP="006D504F">
          <w:pPr>
            <w:pStyle w:val="Footer"/>
            <w:rPr>
              <w:rStyle w:val="PageNumber"/>
            </w:rPr>
          </w:pPr>
        </w:p>
        <w:p w:rsidR="00EC379B" w:rsidRDefault="00CD493A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EE2BDA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CD493A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CD493A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CD493A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CD49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CD493A">
      <w:r>
        <w:separator/>
      </w:r>
    </w:p>
  </w:footnote>
  <w:footnote w:type="continuationSeparator" w:id="0">
    <w:p w:rsidR="00000000" w:rsidRDefault="00CD49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CD493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CD493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CD493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2F1ECF"/>
    <w:multiLevelType w:val="hybridMultilevel"/>
    <w:tmpl w:val="48D21444"/>
    <w:lvl w:ilvl="0" w:tplc="3D429C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50CE1A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4BEE45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64E61E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2F28C6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E888EE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5D23C8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FDA92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9687C3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BDA"/>
    <w:rsid w:val="00CD493A"/>
    <w:rsid w:val="00EE2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B3639ED-48E5-4AC2-9A76-A59A584DC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33630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3630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3630E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363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3630E"/>
    <w:rPr>
      <w:b/>
      <w:bCs/>
    </w:rPr>
  </w:style>
  <w:style w:type="character" w:styleId="Hyperlink">
    <w:name w:val="Hyperlink"/>
    <w:basedOn w:val="DefaultParagraphFont"/>
    <w:unhideWhenUsed/>
    <w:rsid w:val="00D977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494</Words>
  <Characters>2814</Characters>
  <Application>Microsoft Office Word</Application>
  <DocSecurity>4</DocSecurity>
  <Lines>67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SB01235 (Committee Report (Unamended))</vt:lpstr>
    </vt:vector>
  </TitlesOfParts>
  <Company>State of Texas</Company>
  <LinksUpToDate>false</LinksUpToDate>
  <CharactersWithSpaces>3297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32523</dc:subject>
  <dc:creator>State of Texas</dc:creator>
  <dc:description>SB 1235 by Buckingham-(H)Human Services</dc:description>
  <cp:lastModifiedBy>Damian Duarte</cp:lastModifiedBy>
  <cp:revision>2</cp:revision>
  <cp:lastPrinted>2003-11-26T17:21:00Z</cp:lastPrinted>
  <dcterms:created xsi:type="dcterms:W3CDTF">2019-05-16T21:20:00Z</dcterms:created>
  <dcterms:modified xsi:type="dcterms:W3CDTF">2019-05-16T21:20:00Z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19.128.263</vt:lpwstr>
  </property>
</Properties>
</file>