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D346F" w:rsidTr="00345119">
        <w:tc>
          <w:tcPr>
            <w:tcW w:w="9576" w:type="dxa"/>
            <w:noWrap/>
          </w:tcPr>
          <w:p w:rsidR="008423E4" w:rsidRPr="0022177D" w:rsidRDefault="0034063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40634" w:rsidP="008423E4">
      <w:pPr>
        <w:jc w:val="center"/>
      </w:pPr>
    </w:p>
    <w:p w:rsidR="008423E4" w:rsidRPr="00B31F0E" w:rsidRDefault="00340634" w:rsidP="008423E4"/>
    <w:p w:rsidR="008423E4" w:rsidRPr="00742794" w:rsidRDefault="0034063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D346F" w:rsidTr="00345119">
        <w:tc>
          <w:tcPr>
            <w:tcW w:w="9576" w:type="dxa"/>
          </w:tcPr>
          <w:p w:rsidR="008423E4" w:rsidRPr="00861995" w:rsidRDefault="00340634" w:rsidP="00345119">
            <w:pPr>
              <w:jc w:val="right"/>
            </w:pPr>
            <w:r>
              <w:t>S.B. 1262</w:t>
            </w:r>
          </w:p>
        </w:tc>
      </w:tr>
      <w:tr w:rsidR="000D346F" w:rsidTr="00345119">
        <w:tc>
          <w:tcPr>
            <w:tcW w:w="9576" w:type="dxa"/>
          </w:tcPr>
          <w:p w:rsidR="008423E4" w:rsidRPr="00861995" w:rsidRDefault="00340634" w:rsidP="00345119">
            <w:pPr>
              <w:jc w:val="right"/>
            </w:pPr>
            <w:r>
              <w:t xml:space="preserve">By: </w:t>
            </w:r>
            <w:r>
              <w:t>Johnson</w:t>
            </w:r>
          </w:p>
        </w:tc>
      </w:tr>
      <w:tr w:rsidR="000D346F" w:rsidTr="00345119">
        <w:tc>
          <w:tcPr>
            <w:tcW w:w="9576" w:type="dxa"/>
          </w:tcPr>
          <w:p w:rsidR="008423E4" w:rsidRPr="00861995" w:rsidRDefault="00340634" w:rsidP="00345119">
            <w:pPr>
              <w:jc w:val="right"/>
            </w:pPr>
            <w:r>
              <w:t>Ways &amp; Means</w:t>
            </w:r>
          </w:p>
        </w:tc>
      </w:tr>
      <w:tr w:rsidR="000D346F" w:rsidTr="00345119">
        <w:tc>
          <w:tcPr>
            <w:tcW w:w="9576" w:type="dxa"/>
          </w:tcPr>
          <w:p w:rsidR="008423E4" w:rsidRDefault="0034063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40634" w:rsidP="008423E4">
      <w:pPr>
        <w:tabs>
          <w:tab w:val="right" w:pos="9360"/>
        </w:tabs>
      </w:pPr>
    </w:p>
    <w:p w:rsidR="008423E4" w:rsidRDefault="00340634" w:rsidP="008423E4"/>
    <w:p w:rsidR="008423E4" w:rsidRDefault="0034063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D346F" w:rsidTr="00345119">
        <w:tc>
          <w:tcPr>
            <w:tcW w:w="9576" w:type="dxa"/>
          </w:tcPr>
          <w:p w:rsidR="008423E4" w:rsidRPr="00A8133F" w:rsidRDefault="00340634" w:rsidP="00FF545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40634" w:rsidP="00FF5454"/>
          <w:p w:rsidR="00603256" w:rsidRDefault="00340634" w:rsidP="00FF5454">
            <w:pPr>
              <w:pStyle w:val="Header"/>
              <w:jc w:val="both"/>
            </w:pPr>
            <w:r>
              <w:t xml:space="preserve">It has been noted that, due to </w:t>
            </w:r>
            <w:r>
              <w:t xml:space="preserve">certain </w:t>
            </w:r>
            <w:r>
              <w:t xml:space="preserve">population brackets, </w:t>
            </w:r>
            <w:r>
              <w:t xml:space="preserve">some </w:t>
            </w:r>
            <w:r>
              <w:t xml:space="preserve">municipalities are required to allocate at least 50 percent of their hotel occupancy </w:t>
            </w:r>
            <w:r>
              <w:t xml:space="preserve">tax </w:t>
            </w:r>
            <w:r>
              <w:t xml:space="preserve">revenue for advertising and promotions and are not allowed to use such revenue for </w:t>
            </w:r>
            <w:r>
              <w:t xml:space="preserve">other </w:t>
            </w:r>
            <w:r>
              <w:t>purposes</w:t>
            </w:r>
            <w:r>
              <w:t>, such as sporting events and facilities</w:t>
            </w:r>
            <w:r>
              <w:t xml:space="preserve">. It has been suggested that </w:t>
            </w:r>
            <w:r>
              <w:t>t</w:t>
            </w:r>
            <w:r>
              <w:t>hese restrictions may not be the most effective means to promote tourism and the convention and hotel industry for certain municipalities</w:t>
            </w:r>
            <w:r>
              <w:t>.</w:t>
            </w:r>
            <w:r>
              <w:t xml:space="preserve"> S.B. 1262 seeks to address this issue by lowering the minimum amount </w:t>
            </w:r>
            <w:r>
              <w:t xml:space="preserve">of hotel occupancy tax revenue </w:t>
            </w:r>
            <w:r>
              <w:t xml:space="preserve">that </w:t>
            </w:r>
            <w:r>
              <w:t>an applicabl</w:t>
            </w:r>
            <w:r>
              <w:t>e city</w:t>
            </w:r>
            <w:r>
              <w:t xml:space="preserve"> is required to allocate </w:t>
            </w:r>
            <w:r>
              <w:t xml:space="preserve">for advertising and promotions and authorizing the </w:t>
            </w:r>
            <w:r>
              <w:t>c</w:t>
            </w:r>
            <w:r>
              <w:t xml:space="preserve">ity </w:t>
            </w:r>
            <w:r>
              <w:t xml:space="preserve">to </w:t>
            </w:r>
            <w:r>
              <w:t xml:space="preserve">use </w:t>
            </w:r>
            <w:r>
              <w:t xml:space="preserve">the </w:t>
            </w:r>
            <w:r>
              <w:t>revenue for certain sporting events and upgrading existing sporting facilities.</w:t>
            </w:r>
          </w:p>
          <w:p w:rsidR="008423E4" w:rsidRPr="00E26B13" w:rsidRDefault="00340634" w:rsidP="00FF5454">
            <w:pPr>
              <w:pStyle w:val="Header"/>
              <w:jc w:val="both"/>
              <w:rPr>
                <w:b/>
              </w:rPr>
            </w:pPr>
          </w:p>
        </w:tc>
      </w:tr>
      <w:tr w:rsidR="000D346F" w:rsidTr="00345119">
        <w:tc>
          <w:tcPr>
            <w:tcW w:w="9576" w:type="dxa"/>
          </w:tcPr>
          <w:p w:rsidR="0017725B" w:rsidRDefault="00340634" w:rsidP="00FF54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40634" w:rsidP="00FF5454">
            <w:pPr>
              <w:rPr>
                <w:b/>
                <w:u w:val="single"/>
              </w:rPr>
            </w:pPr>
          </w:p>
          <w:p w:rsidR="007C4F6F" w:rsidRPr="007C4F6F" w:rsidRDefault="00340634" w:rsidP="00FF5454">
            <w:pPr>
              <w:jc w:val="both"/>
            </w:pPr>
            <w:r>
              <w:t>It is the committee's opinion that this bill does n</w:t>
            </w:r>
            <w:r>
              <w:t>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340634" w:rsidP="00FF5454">
            <w:pPr>
              <w:rPr>
                <w:b/>
                <w:u w:val="single"/>
              </w:rPr>
            </w:pPr>
          </w:p>
        </w:tc>
      </w:tr>
      <w:tr w:rsidR="000D346F" w:rsidTr="00345119">
        <w:tc>
          <w:tcPr>
            <w:tcW w:w="9576" w:type="dxa"/>
          </w:tcPr>
          <w:p w:rsidR="008423E4" w:rsidRPr="00A8133F" w:rsidRDefault="00340634" w:rsidP="00FF545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40634" w:rsidP="00FF5454"/>
          <w:p w:rsidR="007C4F6F" w:rsidRDefault="00340634" w:rsidP="00FF54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340634" w:rsidP="00FF5454">
            <w:pPr>
              <w:rPr>
                <w:b/>
              </w:rPr>
            </w:pPr>
          </w:p>
        </w:tc>
      </w:tr>
      <w:tr w:rsidR="000D346F" w:rsidTr="00345119">
        <w:tc>
          <w:tcPr>
            <w:tcW w:w="9576" w:type="dxa"/>
          </w:tcPr>
          <w:p w:rsidR="008423E4" w:rsidRPr="00A8133F" w:rsidRDefault="00340634" w:rsidP="00FF545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40634" w:rsidP="00FF5454"/>
          <w:p w:rsidR="007C4F6F" w:rsidRDefault="00340634" w:rsidP="00FF5454">
            <w:pPr>
              <w:pStyle w:val="Header"/>
              <w:jc w:val="both"/>
            </w:pPr>
            <w:r>
              <w:t xml:space="preserve">S.B. 1262 </w:t>
            </w:r>
            <w:r>
              <w:t xml:space="preserve">amends the Tax Code to include among the </w:t>
            </w:r>
            <w:r>
              <w:t xml:space="preserve">purposes for which </w:t>
            </w:r>
            <w:r>
              <w:t xml:space="preserve">revenue from the </w:t>
            </w:r>
            <w:r>
              <w:t>municipal hotel occupancy tax</w:t>
            </w:r>
            <w:r>
              <w:t xml:space="preserve"> may be used to promote tourism and the convention and hotel industry</w:t>
            </w:r>
            <w:r>
              <w:t>:</w:t>
            </w:r>
          </w:p>
          <w:p w:rsidR="00283B39" w:rsidRDefault="00340634" w:rsidP="00FF5454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expenses </w:t>
            </w:r>
            <w:r w:rsidRPr="00AA0987">
              <w:t xml:space="preserve">directly related to a sporting event in which the majority of participants are tourists who substantially increase economic activity at hotels and </w:t>
            </w:r>
            <w:r w:rsidRPr="00AA0987">
              <w:t xml:space="preserve">motels within </w:t>
            </w:r>
            <w:r>
              <w:t>a</w:t>
            </w:r>
            <w:r w:rsidRPr="00AA0987">
              <w:t xml:space="preserve"> municipality or its vicinity</w:t>
            </w:r>
            <w:r>
              <w:t xml:space="preserve"> </w:t>
            </w:r>
            <w:r>
              <w:t xml:space="preserve">for a </w:t>
            </w:r>
            <w:r w:rsidRPr="00AA0987">
              <w:t xml:space="preserve">municipality </w:t>
            </w:r>
            <w:r>
              <w:t>that</w:t>
            </w:r>
            <w:r>
              <w:t>:</w:t>
            </w:r>
            <w:r>
              <w:t xml:space="preserve"> </w:t>
            </w:r>
          </w:p>
          <w:p w:rsidR="00283B39" w:rsidRDefault="00340634" w:rsidP="00FF5454">
            <w:pPr>
              <w:pStyle w:val="Header"/>
              <w:numPr>
                <w:ilvl w:val="1"/>
                <w:numId w:val="1"/>
              </w:numPr>
              <w:spacing w:before="120" w:after="120"/>
              <w:jc w:val="both"/>
            </w:pPr>
            <w:r w:rsidRPr="00AA0987">
              <w:t>has a population of at least 2</w:t>
            </w:r>
            <w:r>
              <w:t xml:space="preserve">00,000; and </w:t>
            </w:r>
          </w:p>
          <w:p w:rsidR="007C4F6F" w:rsidRDefault="00340634" w:rsidP="00FF5454">
            <w:pPr>
              <w:pStyle w:val="Header"/>
              <w:numPr>
                <w:ilvl w:val="1"/>
                <w:numId w:val="1"/>
              </w:numPr>
              <w:spacing w:before="120" w:after="120"/>
              <w:jc w:val="both"/>
            </w:pPr>
            <w:r>
              <w:t xml:space="preserve">shares a border with </w:t>
            </w:r>
            <w:r>
              <w:t xml:space="preserve">Lake Ray Hubbard and </w:t>
            </w:r>
            <w:r>
              <w:t xml:space="preserve">a municipality with a population of at least 56,000 that borders Lake Ray Hubbard and is located in </w:t>
            </w:r>
            <w:r>
              <w:t xml:space="preserve">two counties, one of which has a population of less than 80,000; and </w:t>
            </w:r>
          </w:p>
          <w:p w:rsidR="008423E4" w:rsidRDefault="00340634" w:rsidP="00FF5454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enhancement and upgrading of existing sports facilities or fields</w:t>
            </w:r>
            <w:r>
              <w:t xml:space="preserve"> </w:t>
            </w:r>
            <w:r>
              <w:t xml:space="preserve">for a </w:t>
            </w:r>
            <w:r>
              <w:t xml:space="preserve">municipality </w:t>
            </w:r>
            <w:r>
              <w:t xml:space="preserve">that meets such criteria </w:t>
            </w:r>
            <w:r>
              <w:t xml:space="preserve">and </w:t>
            </w:r>
            <w:r>
              <w:t>owns the facilities or fields</w:t>
            </w:r>
            <w:r>
              <w:t xml:space="preserve"> if </w:t>
            </w:r>
            <w:r>
              <w:t>t</w:t>
            </w:r>
            <w:r w:rsidRPr="007C4F6F">
              <w:t>he sports facilities and fields ha</w:t>
            </w:r>
            <w:r w:rsidRPr="007C4F6F">
              <w:t>ve been used, in the preceding calendar year, a combined total of more than 10 times for district, state, regional,</w:t>
            </w:r>
            <w:r>
              <w:t xml:space="preserve"> or national sports tournaments.</w:t>
            </w:r>
          </w:p>
          <w:p w:rsidR="007C4F6F" w:rsidRDefault="00340634" w:rsidP="00FF5454">
            <w:pPr>
              <w:pStyle w:val="Header"/>
              <w:spacing w:before="120" w:after="120"/>
              <w:jc w:val="both"/>
            </w:pPr>
          </w:p>
          <w:p w:rsidR="007C4F6F" w:rsidRDefault="00340634" w:rsidP="00FF5454">
            <w:pPr>
              <w:pStyle w:val="Header"/>
              <w:spacing w:before="120" w:after="120"/>
              <w:jc w:val="both"/>
            </w:pPr>
            <w:r>
              <w:t xml:space="preserve">S.B. 1262 requires at least 30 percent of the hotel occupancy tax revenue collected by </w:t>
            </w:r>
            <w:r>
              <w:t xml:space="preserve">the </w:t>
            </w:r>
            <w:r>
              <w:t xml:space="preserve">municipality to </w:t>
            </w:r>
            <w:r>
              <w:t xml:space="preserve">be allocated for advertising </w:t>
            </w:r>
            <w:r w:rsidRPr="007C4F6F">
              <w:t>and conducting solicitations and promotional programs to attract tourists and convention delegates or registrants to t</w:t>
            </w:r>
            <w:r>
              <w:t xml:space="preserve">he municipality or its vicinity. </w:t>
            </w:r>
          </w:p>
          <w:p w:rsidR="008423E4" w:rsidRPr="00835628" w:rsidRDefault="00340634" w:rsidP="00FF5454">
            <w:pPr>
              <w:rPr>
                <w:b/>
              </w:rPr>
            </w:pPr>
          </w:p>
        </w:tc>
      </w:tr>
      <w:tr w:rsidR="000D346F" w:rsidTr="00345119">
        <w:tc>
          <w:tcPr>
            <w:tcW w:w="9576" w:type="dxa"/>
          </w:tcPr>
          <w:p w:rsidR="008423E4" w:rsidRPr="00A8133F" w:rsidRDefault="00340634" w:rsidP="00FF545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40634" w:rsidP="00FF5454"/>
          <w:p w:rsidR="008423E4" w:rsidRPr="003624F2" w:rsidRDefault="00340634" w:rsidP="00FF54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340634" w:rsidP="00FF5454">
            <w:pPr>
              <w:rPr>
                <w:b/>
              </w:rPr>
            </w:pPr>
          </w:p>
        </w:tc>
      </w:tr>
    </w:tbl>
    <w:p w:rsidR="008423E4" w:rsidRPr="00BE0E75" w:rsidRDefault="0034063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40634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0634">
      <w:r>
        <w:separator/>
      </w:r>
    </w:p>
  </w:endnote>
  <w:endnote w:type="continuationSeparator" w:id="0">
    <w:p w:rsidR="00000000" w:rsidRDefault="0034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40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D346F" w:rsidTr="009C1E9A">
      <w:trPr>
        <w:cantSplit/>
      </w:trPr>
      <w:tc>
        <w:tcPr>
          <w:tcW w:w="0" w:type="pct"/>
        </w:tcPr>
        <w:p w:rsidR="00137D90" w:rsidRDefault="0034063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4063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4063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4063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406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346F" w:rsidTr="009C1E9A">
      <w:trPr>
        <w:cantSplit/>
      </w:trPr>
      <w:tc>
        <w:tcPr>
          <w:tcW w:w="0" w:type="pct"/>
        </w:tcPr>
        <w:p w:rsidR="00EC379B" w:rsidRDefault="0034063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4063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31926</w:t>
          </w:r>
        </w:p>
      </w:tc>
      <w:tc>
        <w:tcPr>
          <w:tcW w:w="2453" w:type="pct"/>
        </w:tcPr>
        <w:p w:rsidR="00EC379B" w:rsidRDefault="003406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19.126.337</w:t>
          </w:r>
          <w:r>
            <w:fldChar w:fldCharType="end"/>
          </w:r>
        </w:p>
      </w:tc>
    </w:tr>
    <w:tr w:rsidR="000D346F" w:rsidTr="009C1E9A">
      <w:trPr>
        <w:cantSplit/>
      </w:trPr>
      <w:tc>
        <w:tcPr>
          <w:tcW w:w="0" w:type="pct"/>
        </w:tcPr>
        <w:p w:rsidR="00EC379B" w:rsidRDefault="0034063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4063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40634" w:rsidP="006D504F">
          <w:pPr>
            <w:pStyle w:val="Footer"/>
            <w:rPr>
              <w:rStyle w:val="PageNumber"/>
            </w:rPr>
          </w:pPr>
        </w:p>
        <w:p w:rsidR="00EC379B" w:rsidRDefault="0034063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346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4063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4063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4063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40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0634">
      <w:r>
        <w:separator/>
      </w:r>
    </w:p>
  </w:footnote>
  <w:footnote w:type="continuationSeparator" w:id="0">
    <w:p w:rsidR="00000000" w:rsidRDefault="0034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40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40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340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7762A"/>
    <w:multiLevelType w:val="hybridMultilevel"/>
    <w:tmpl w:val="D2965BC0"/>
    <w:lvl w:ilvl="0" w:tplc="7626F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20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88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63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1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03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C9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C7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F"/>
    <w:rsid w:val="000D346F"/>
    <w:rsid w:val="003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B37E9E-21D1-4800-9104-A918286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C4F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4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F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2251</Characters>
  <Application>Microsoft Office Word</Application>
  <DocSecurity>4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SB01262 (Committee Report (Unamended))</vt:lpstr>
    </vt:vector>
  </TitlesOfParts>
  <Company>State of Texas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31926</dc:subject>
  <dc:creator>State of Texas</dc:creator>
  <dc:description>SB 1262 by Johnson-(H)Ways &amp; Means</dc:description>
  <cp:lastModifiedBy>Erin Conway</cp:lastModifiedBy>
  <cp:revision>2</cp:revision>
  <cp:lastPrinted>2019-05-04T15:42:00Z</cp:lastPrinted>
  <dcterms:created xsi:type="dcterms:W3CDTF">2019-05-10T22:55:00Z</dcterms:created>
  <dcterms:modified xsi:type="dcterms:W3CDTF">2019-05-10T22:55:00Z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19.126.337</vt:lpwstr>
  </property>
</Properties>
</file>