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90551" w:rsidTr="00F921B9">
        <w:tc>
          <w:tcPr>
            <w:tcW w:w="9576" w:type="dxa"/>
            <w:noWrap/>
          </w:tcPr>
          <w:p w:rsidR="008423E4" w:rsidRPr="0022177D" w:rsidRDefault="000F72E1" w:rsidP="00F921B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F72E1" w:rsidP="008423E4">
      <w:pPr>
        <w:jc w:val="center"/>
      </w:pPr>
    </w:p>
    <w:p w:rsidR="008423E4" w:rsidRPr="00B31F0E" w:rsidRDefault="000F72E1" w:rsidP="008423E4"/>
    <w:p w:rsidR="008423E4" w:rsidRPr="00742794" w:rsidRDefault="000F72E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90551" w:rsidTr="00F921B9">
        <w:tc>
          <w:tcPr>
            <w:tcW w:w="9576" w:type="dxa"/>
          </w:tcPr>
          <w:p w:rsidR="008423E4" w:rsidRPr="00861995" w:rsidRDefault="000F72E1" w:rsidP="00F921B9">
            <w:pPr>
              <w:jc w:val="right"/>
            </w:pPr>
            <w:r>
              <w:t>C.S.S.B. 1264</w:t>
            </w:r>
          </w:p>
        </w:tc>
      </w:tr>
      <w:tr w:rsidR="00A90551" w:rsidTr="00F921B9">
        <w:tc>
          <w:tcPr>
            <w:tcW w:w="9576" w:type="dxa"/>
          </w:tcPr>
          <w:p w:rsidR="008423E4" w:rsidRPr="00861995" w:rsidRDefault="000F72E1" w:rsidP="00BB70B5">
            <w:pPr>
              <w:jc w:val="right"/>
            </w:pPr>
            <w:r>
              <w:t xml:space="preserve">By: </w:t>
            </w:r>
            <w:r>
              <w:t>Hancock</w:t>
            </w:r>
          </w:p>
        </w:tc>
      </w:tr>
      <w:tr w:rsidR="00A90551" w:rsidTr="00F921B9">
        <w:tc>
          <w:tcPr>
            <w:tcW w:w="9576" w:type="dxa"/>
          </w:tcPr>
          <w:p w:rsidR="008423E4" w:rsidRPr="00861995" w:rsidRDefault="000F72E1" w:rsidP="00F921B9">
            <w:pPr>
              <w:jc w:val="right"/>
            </w:pPr>
            <w:r>
              <w:t>Insurance</w:t>
            </w:r>
          </w:p>
        </w:tc>
      </w:tr>
      <w:tr w:rsidR="00A90551" w:rsidTr="00F921B9">
        <w:tc>
          <w:tcPr>
            <w:tcW w:w="9576" w:type="dxa"/>
          </w:tcPr>
          <w:p w:rsidR="008423E4" w:rsidRDefault="000F72E1">
            <w:pPr>
              <w:jc w:val="right"/>
            </w:pPr>
            <w:r>
              <w:t>Committee Report (Substituted)</w:t>
            </w:r>
          </w:p>
        </w:tc>
      </w:tr>
    </w:tbl>
    <w:p w:rsidR="008423E4" w:rsidRDefault="000F72E1" w:rsidP="008423E4">
      <w:pPr>
        <w:tabs>
          <w:tab w:val="right" w:pos="9360"/>
        </w:tabs>
      </w:pPr>
    </w:p>
    <w:p w:rsidR="008423E4" w:rsidRDefault="000F72E1" w:rsidP="008423E4"/>
    <w:p w:rsidR="008423E4" w:rsidRDefault="000F72E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90551" w:rsidTr="00F921B9">
        <w:tc>
          <w:tcPr>
            <w:tcW w:w="9576" w:type="dxa"/>
          </w:tcPr>
          <w:p w:rsidR="008423E4" w:rsidRPr="00A8133F" w:rsidRDefault="000F72E1" w:rsidP="00AB56B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F72E1" w:rsidP="00AB56B7"/>
          <w:p w:rsidR="008423E4" w:rsidRDefault="000F72E1" w:rsidP="00AB56B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are concerns</w:t>
            </w:r>
            <w:r w:rsidRPr="00D00864">
              <w:t xml:space="preserve"> that consumers who receive surprise medical bills face unnecessary hurdles </w:t>
            </w:r>
            <w:r>
              <w:t>in</w:t>
            </w:r>
            <w:r w:rsidRPr="00D00864">
              <w:t xml:space="preserve"> </w:t>
            </w:r>
            <w:r w:rsidRPr="00D00864">
              <w:t xml:space="preserve">addressing those bills under the existing mediation system. </w:t>
            </w:r>
            <w:r>
              <w:t>C.S.S.B. 1264</w:t>
            </w:r>
            <w:r w:rsidRPr="00D00864">
              <w:t xml:space="preserve"> aims to address these concerns by making certain changes to the current mediation process</w:t>
            </w:r>
            <w:r>
              <w:t>,</w:t>
            </w:r>
            <w:r>
              <w:t xml:space="preserve"> establishing an arbitration process</w:t>
            </w:r>
            <w:r w:rsidRPr="00D00864">
              <w:t>, expanding the types of plans that are eligible for med</w:t>
            </w:r>
            <w:r w:rsidRPr="00D00864">
              <w:t>iation, and prohibiting providers from sending surprise balance bills to consumers.</w:t>
            </w:r>
            <w:r>
              <w:t xml:space="preserve"> </w:t>
            </w:r>
          </w:p>
          <w:p w:rsidR="008423E4" w:rsidRPr="00E26B13" w:rsidRDefault="000F72E1" w:rsidP="00AB56B7">
            <w:pPr>
              <w:rPr>
                <w:b/>
              </w:rPr>
            </w:pPr>
          </w:p>
        </w:tc>
      </w:tr>
      <w:tr w:rsidR="00A90551" w:rsidTr="00F921B9">
        <w:tc>
          <w:tcPr>
            <w:tcW w:w="9576" w:type="dxa"/>
          </w:tcPr>
          <w:p w:rsidR="0017725B" w:rsidRDefault="000F72E1" w:rsidP="00AB56B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F72E1" w:rsidP="00AB56B7">
            <w:pPr>
              <w:rPr>
                <w:b/>
                <w:u w:val="single"/>
              </w:rPr>
            </w:pPr>
          </w:p>
          <w:p w:rsidR="00505907" w:rsidRPr="00505907" w:rsidRDefault="000F72E1" w:rsidP="00AB56B7">
            <w:pPr>
              <w:jc w:val="both"/>
            </w:pPr>
            <w:r>
              <w:t xml:space="preserve">It is the committee's opinion that this bill does not expressly create a criminal offense, increase the punishment for an existing criminal </w:t>
            </w:r>
            <w:r>
              <w:t>offense or category of offenses, or change the eligibility of a person for community supervision, parole, or mandatory supervision.</w:t>
            </w:r>
          </w:p>
          <w:p w:rsidR="0017725B" w:rsidRPr="0017725B" w:rsidRDefault="000F72E1" w:rsidP="00AB56B7">
            <w:pPr>
              <w:rPr>
                <w:b/>
                <w:u w:val="single"/>
              </w:rPr>
            </w:pPr>
          </w:p>
        </w:tc>
      </w:tr>
      <w:tr w:rsidR="00A90551" w:rsidTr="00F921B9">
        <w:tc>
          <w:tcPr>
            <w:tcW w:w="9576" w:type="dxa"/>
          </w:tcPr>
          <w:p w:rsidR="008423E4" w:rsidRPr="00A8133F" w:rsidRDefault="000F72E1" w:rsidP="00AB56B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F72E1" w:rsidP="00AB56B7"/>
          <w:p w:rsidR="00505907" w:rsidRDefault="000F72E1" w:rsidP="00AB56B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>
              <w:t>commissioner of</w:t>
            </w:r>
            <w:r>
              <w:t xml:space="preserve"> i</w:t>
            </w:r>
            <w:r>
              <w:t>nsurance in SECTION</w:t>
            </w:r>
            <w:r>
              <w:t>S</w:t>
            </w:r>
            <w:r>
              <w:t xml:space="preserve"> </w:t>
            </w:r>
            <w:r>
              <w:t xml:space="preserve">1.01, </w:t>
            </w:r>
            <w:r>
              <w:t>2.0</w:t>
            </w:r>
            <w:r>
              <w:t>5, 2.10, 2.15, and 2.17</w:t>
            </w:r>
            <w:r>
              <w:t xml:space="preserve"> of this bill</w:t>
            </w:r>
            <w:r>
              <w:t xml:space="preserve"> and to the Texas Medical Board in SECTION 2.17 of this bill</w:t>
            </w:r>
            <w:r>
              <w:t xml:space="preserve"> and to any applicable regulatory agency in SECTIONS 1.01 and 2.17 of this bill</w:t>
            </w:r>
            <w:r>
              <w:t>.</w:t>
            </w:r>
          </w:p>
          <w:p w:rsidR="008423E4" w:rsidRPr="00E21FDC" w:rsidRDefault="000F72E1" w:rsidP="00AB56B7">
            <w:pPr>
              <w:rPr>
                <w:b/>
              </w:rPr>
            </w:pPr>
          </w:p>
        </w:tc>
      </w:tr>
      <w:tr w:rsidR="00A90551" w:rsidTr="00F921B9">
        <w:tc>
          <w:tcPr>
            <w:tcW w:w="9576" w:type="dxa"/>
          </w:tcPr>
          <w:p w:rsidR="008423E4" w:rsidRPr="00A8133F" w:rsidRDefault="000F72E1" w:rsidP="00AB56B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F72E1" w:rsidP="00AB56B7"/>
          <w:p w:rsidR="00492A4F" w:rsidRDefault="000F72E1" w:rsidP="00AB56B7">
            <w:pPr>
              <w:pStyle w:val="Header"/>
              <w:jc w:val="both"/>
            </w:pPr>
            <w:r>
              <w:t>C.S.S.B. 1264</w:t>
            </w:r>
            <w:r>
              <w:t xml:space="preserve"> amends the Insurance</w:t>
            </w:r>
            <w:r>
              <w:t xml:space="preserve"> Code to </w:t>
            </w:r>
            <w:r>
              <w:t>require</w:t>
            </w:r>
            <w:r>
              <w:t xml:space="preserve"> </w:t>
            </w:r>
            <w:r>
              <w:t>certain</w:t>
            </w:r>
            <w:r w:rsidRPr="007C792D">
              <w:t xml:space="preserve"> </w:t>
            </w:r>
            <w:r w:rsidRPr="007C792D">
              <w:t>health benefit plan</w:t>
            </w:r>
            <w:r>
              <w:t>s</w:t>
            </w:r>
            <w:r w:rsidRPr="007C792D">
              <w:t xml:space="preserve"> that provide coverage for a health care or medical service performed for or a supply related to that service provided to an enrollee by an out-of-network provider who i</w:t>
            </w:r>
            <w:r>
              <w:t xml:space="preserve">s a facility-based provider </w:t>
            </w:r>
            <w:r>
              <w:t xml:space="preserve">or </w:t>
            </w:r>
            <w:r w:rsidRPr="007C792D">
              <w:t>who is a di</w:t>
            </w:r>
            <w:r w:rsidRPr="007C792D">
              <w:t xml:space="preserve">agnostic imaging provider or </w:t>
            </w:r>
            <w:r>
              <w:t xml:space="preserve">laboratory service provider, as applicable, </w:t>
            </w:r>
            <w:r>
              <w:t>to</w:t>
            </w:r>
            <w:r w:rsidRPr="007C792D">
              <w:t xml:space="preserve"> provide the coverage at the usual and customary rate or at an agreed rate if</w:t>
            </w:r>
            <w:r>
              <w:t xml:space="preserve"> </w:t>
            </w:r>
            <w:r w:rsidRPr="007C792D">
              <w:t>the provider performed the service at a health care facility that is a participating provider</w:t>
            </w:r>
            <w:r>
              <w:t xml:space="preserve"> or</w:t>
            </w:r>
            <w:r w:rsidRPr="007C792D">
              <w:t xml:space="preserve"> </w:t>
            </w:r>
            <w:r w:rsidRPr="007C792D">
              <w:t>perfor</w:t>
            </w:r>
            <w:r w:rsidRPr="007C792D">
              <w:t xml:space="preserve">med the service </w:t>
            </w:r>
            <w:r w:rsidRPr="007C792D">
              <w:t>in connection with a health care service perform</w:t>
            </w:r>
            <w:r>
              <w:t>ed by a participating provider</w:t>
            </w:r>
            <w:r>
              <w:t>, as applicable</w:t>
            </w:r>
            <w:r>
              <w:t xml:space="preserve">. </w:t>
            </w:r>
            <w:r>
              <w:t xml:space="preserve">The bill exempts </w:t>
            </w:r>
            <w:r>
              <w:t>from</w:t>
            </w:r>
            <w:r>
              <w:t xml:space="preserve"> these requirements </w:t>
            </w:r>
            <w:r w:rsidRPr="00EF1C72">
              <w:t>a nonemergency health care or medical service</w:t>
            </w:r>
            <w:r>
              <w:t>:</w:t>
            </w:r>
          </w:p>
          <w:p w:rsidR="00492A4F" w:rsidRDefault="000F72E1" w:rsidP="00AB56B7">
            <w:pPr>
              <w:pStyle w:val="Header"/>
              <w:numPr>
                <w:ilvl w:val="0"/>
                <w:numId w:val="9"/>
              </w:numPr>
              <w:spacing w:before="120" w:after="120"/>
              <w:jc w:val="both"/>
            </w:pPr>
            <w:r w:rsidRPr="00EF1C72">
              <w:t xml:space="preserve">that an enrollee elects to receive in writing in advance </w:t>
            </w:r>
            <w:r w:rsidRPr="00EF1C72">
              <w:t>of the service with respect to each out-of-network provider providing the service</w:t>
            </w:r>
            <w:r>
              <w:t xml:space="preserve">; and </w:t>
            </w:r>
          </w:p>
          <w:p w:rsidR="00492A4F" w:rsidRDefault="000F72E1" w:rsidP="00AB56B7">
            <w:pPr>
              <w:pStyle w:val="Header"/>
              <w:numPr>
                <w:ilvl w:val="0"/>
                <w:numId w:val="9"/>
              </w:numPr>
              <w:spacing w:before="120" w:after="120"/>
              <w:jc w:val="both"/>
            </w:pPr>
            <w:r w:rsidRPr="00EF1C72">
              <w:t>for which an out-of-network provider, before providing the service, provides a complete written</w:t>
            </w:r>
            <w:r>
              <w:t xml:space="preserve"> disclosure to the enrollee that:</w:t>
            </w:r>
          </w:p>
          <w:p w:rsidR="00492A4F" w:rsidRDefault="000F72E1" w:rsidP="00AB56B7">
            <w:pPr>
              <w:pStyle w:val="Header"/>
              <w:numPr>
                <w:ilvl w:val="1"/>
                <w:numId w:val="9"/>
              </w:numPr>
              <w:spacing w:before="120" w:after="120"/>
              <w:jc w:val="both"/>
            </w:pPr>
            <w:r>
              <w:t xml:space="preserve">explains that the provider does not </w:t>
            </w:r>
            <w:r>
              <w:t>have a contract with the enrollee's health benefit plan</w:t>
            </w:r>
            <w:r>
              <w:t>;</w:t>
            </w:r>
          </w:p>
          <w:p w:rsidR="00492A4F" w:rsidRDefault="000F72E1" w:rsidP="00AB56B7">
            <w:pPr>
              <w:pStyle w:val="Header"/>
              <w:numPr>
                <w:ilvl w:val="1"/>
                <w:numId w:val="9"/>
              </w:numPr>
              <w:spacing w:before="120" w:after="120"/>
              <w:jc w:val="both"/>
            </w:pPr>
            <w:r>
              <w:t>discloses projected amounts for which the enrollee may be responsible</w:t>
            </w:r>
            <w:r>
              <w:t xml:space="preserve">; </w:t>
            </w:r>
            <w:r>
              <w:t>and</w:t>
            </w:r>
          </w:p>
          <w:p w:rsidR="00EF1C72" w:rsidRDefault="000F72E1" w:rsidP="00AB56B7">
            <w:pPr>
              <w:pStyle w:val="Header"/>
              <w:numPr>
                <w:ilvl w:val="1"/>
                <w:numId w:val="9"/>
              </w:numPr>
              <w:spacing w:before="120" w:after="120"/>
              <w:jc w:val="both"/>
            </w:pPr>
            <w:r>
              <w:t>discloses the circumstances under which the enrollee would be responsible for those amounts.</w:t>
            </w:r>
            <w:r>
              <w:t xml:space="preserve"> </w:t>
            </w:r>
          </w:p>
          <w:p w:rsidR="00492A4F" w:rsidRDefault="000F72E1" w:rsidP="00AB56B7">
            <w:pPr>
              <w:pStyle w:val="Header"/>
              <w:jc w:val="both"/>
            </w:pPr>
            <w:r>
              <w:t>The bill</w:t>
            </w:r>
            <w:r>
              <w:t xml:space="preserve"> requires a </w:t>
            </w:r>
            <w:r w:rsidRPr="00E93A98">
              <w:t>health benefit plan that provides coverage for emergency care performed for or a supply related to that care provided to an enrollee by</w:t>
            </w:r>
            <w:r>
              <w:t xml:space="preserve"> an out-of-network provider to</w:t>
            </w:r>
            <w:r w:rsidRPr="00E93A98">
              <w:t xml:space="preserve"> provide the coverage at the usual and customary rate or at an agreed rate.</w:t>
            </w:r>
            <w:r>
              <w:t xml:space="preserve"> </w:t>
            </w:r>
            <w:r>
              <w:t>The bill establ</w:t>
            </w:r>
            <w:r>
              <w:t xml:space="preserve">ishes the usual and customary rate for a health benefit plan issued under the Texas Employees Group Benefits Act, the Texas Public School Retired Employees Group Benefits Act, or the Texas </w:t>
            </w:r>
            <w:r>
              <w:t xml:space="preserve">School Employees Uniform Group Health Coverage Act as the relevant </w:t>
            </w:r>
            <w:r>
              <w:t>allowable amount described by the applicable master benefit plan document or policy.</w:t>
            </w:r>
          </w:p>
          <w:p w:rsidR="00492A4F" w:rsidRDefault="000F72E1" w:rsidP="00AB56B7">
            <w:pPr>
              <w:pStyle w:val="Header"/>
              <w:jc w:val="both"/>
            </w:pPr>
          </w:p>
          <w:p w:rsidR="00B052F1" w:rsidRDefault="000F72E1" w:rsidP="00AB56B7">
            <w:pPr>
              <w:pStyle w:val="Header"/>
              <w:jc w:val="both"/>
            </w:pPr>
            <w:r>
              <w:t xml:space="preserve">C.S.S.B. 1264 </w:t>
            </w:r>
            <w:r>
              <w:t>requires a health maintenance organization (HMO)</w:t>
            </w:r>
            <w:r>
              <w:t>, insurer, or administrator</w:t>
            </w:r>
            <w:r>
              <w:t xml:space="preserve"> to </w:t>
            </w:r>
            <w:r w:rsidRPr="00E93A98">
              <w:t>act on a clean claim</w:t>
            </w:r>
            <w:r>
              <w:t xml:space="preserve"> </w:t>
            </w:r>
            <w:r w:rsidRPr="00E93A98">
              <w:t>related to a health care or medical service or supply re</w:t>
            </w:r>
            <w:r w:rsidRPr="00E93A98">
              <w:t xml:space="preserve">quired to be covered under </w:t>
            </w:r>
            <w:r>
              <w:t>the bill's provisions</w:t>
            </w:r>
            <w:r w:rsidRPr="00E93A98">
              <w:t xml:space="preserve"> in accordance with </w:t>
            </w:r>
            <w:r>
              <w:t>statutory provisions relating to the deadline for action on a clean claim</w:t>
            </w:r>
            <w:r w:rsidRPr="00E93A98">
              <w:t xml:space="preserve"> as if the out-of-network provider is a participating physician or provider</w:t>
            </w:r>
            <w:r>
              <w:t xml:space="preserve"> and as if the administrator is an insur</w:t>
            </w:r>
            <w:r>
              <w:t>er, as applicable</w:t>
            </w:r>
            <w:r w:rsidRPr="00E93A98">
              <w:t>.</w:t>
            </w:r>
            <w:r>
              <w:t xml:space="preserve"> </w:t>
            </w:r>
          </w:p>
          <w:p w:rsidR="00B052F1" w:rsidRDefault="000F72E1" w:rsidP="00AB56B7">
            <w:pPr>
              <w:pStyle w:val="Header"/>
              <w:jc w:val="both"/>
            </w:pPr>
          </w:p>
          <w:p w:rsidR="00B052F1" w:rsidRDefault="000F72E1" w:rsidP="00AB56B7">
            <w:pPr>
              <w:pStyle w:val="Header"/>
              <w:jc w:val="both"/>
            </w:pPr>
            <w:r>
              <w:t xml:space="preserve">C.S.S.B. 1264 </w:t>
            </w:r>
            <w:r>
              <w:t xml:space="preserve">requires a </w:t>
            </w:r>
            <w:r w:rsidRPr="0057653A">
              <w:t>health benefit pl</w:t>
            </w:r>
            <w:r>
              <w:t>an issuer or administrator to</w:t>
            </w:r>
            <w:r w:rsidRPr="0057653A">
              <w:t xml:space="preserve"> provide written notice in an explanation of benefits provided to the enrollee and the out-of-network provider in connection with a health care service or supply</w:t>
            </w:r>
            <w:r>
              <w:t xml:space="preserve"> th</w:t>
            </w:r>
            <w:r>
              <w:t>at is subject to the required coverages under the bill's provisions</w:t>
            </w:r>
            <w:r w:rsidRPr="0057653A">
              <w:t>.</w:t>
            </w:r>
            <w:r>
              <w:t xml:space="preserve"> The bill sets out the required contents of the notice. The bill prohibits </w:t>
            </w:r>
            <w:r w:rsidRPr="00154756">
              <w:t>an out</w:t>
            </w:r>
            <w:r>
              <w:noBreakHyphen/>
            </w:r>
            <w:r w:rsidRPr="00154756">
              <w:t>of</w:t>
            </w:r>
            <w:r>
              <w:noBreakHyphen/>
            </w:r>
            <w:r w:rsidRPr="00154756">
              <w:t>network provider or a person asserting a claim as an agent or assignee of the provider</w:t>
            </w:r>
            <w:r>
              <w:t xml:space="preserve">, for a </w:t>
            </w:r>
            <w:r w:rsidRPr="00154756">
              <w:t>health ca</w:t>
            </w:r>
            <w:r w:rsidRPr="00154756">
              <w:t>re service or supply required to be covered under</w:t>
            </w:r>
            <w:r>
              <w:t xml:space="preserve"> the bill's provisions, from billing an enrollee </w:t>
            </w:r>
            <w:r w:rsidRPr="00154756">
              <w:t>an amount greater than an applicable copayment, coinsurance, or deductible under the enrollee's health benefit plan that</w:t>
            </w:r>
            <w:r>
              <w:t>:</w:t>
            </w:r>
          </w:p>
          <w:p w:rsidR="00B052F1" w:rsidRDefault="000F72E1" w:rsidP="00AB56B7">
            <w:pPr>
              <w:pStyle w:val="Header"/>
              <w:numPr>
                <w:ilvl w:val="0"/>
                <w:numId w:val="10"/>
              </w:numPr>
              <w:spacing w:before="120" w:after="120"/>
              <w:jc w:val="both"/>
            </w:pPr>
            <w:r>
              <w:t>is based on the amount initially det</w:t>
            </w:r>
            <w:r>
              <w:t>ermined payable by the health benefit plan issuer or administrator, or if applicable, a modified amount as determined under the issuer's or administrator's internal dispute resolution process; and</w:t>
            </w:r>
          </w:p>
          <w:p w:rsidR="00EF1C72" w:rsidRDefault="000F72E1" w:rsidP="00AB56B7">
            <w:pPr>
              <w:pStyle w:val="Header"/>
              <w:numPr>
                <w:ilvl w:val="0"/>
                <w:numId w:val="10"/>
              </w:numPr>
              <w:spacing w:before="120" w:after="120"/>
              <w:jc w:val="both"/>
            </w:pPr>
            <w:r>
              <w:t>is not based on any additional amount determined to be owed</w:t>
            </w:r>
            <w:r>
              <w:t xml:space="preserve"> to the provider under provisions relating to out-of-network claim dispute resolution.</w:t>
            </w:r>
          </w:p>
          <w:p w:rsidR="00385DD7" w:rsidRDefault="000F72E1" w:rsidP="00F9642B">
            <w:pPr>
              <w:pStyle w:val="Header"/>
              <w:spacing w:before="120" w:after="120"/>
              <w:jc w:val="both"/>
            </w:pPr>
            <w:r>
              <w:t>The bill expressly holds harmless an enrollee for financial responsibility for that amount.</w:t>
            </w:r>
          </w:p>
          <w:p w:rsidR="00676908" w:rsidRDefault="000F72E1" w:rsidP="00AB56B7">
            <w:pPr>
              <w:pStyle w:val="Header"/>
              <w:jc w:val="both"/>
            </w:pPr>
          </w:p>
          <w:p w:rsidR="005B22DD" w:rsidRDefault="000F72E1" w:rsidP="00AB56B7">
            <w:pPr>
              <w:pStyle w:val="Header"/>
              <w:jc w:val="both"/>
            </w:pPr>
            <w:r>
              <w:t xml:space="preserve">C.S.S.B. 1264 authorizes the attorney general to </w:t>
            </w:r>
            <w:r w:rsidRPr="00676908">
              <w:t>bring a civil action in the</w:t>
            </w:r>
            <w:r>
              <w:t xml:space="preserve"> name of the state to enjoin an individual or entity from a</w:t>
            </w:r>
            <w:r w:rsidRPr="00676908">
              <w:t xml:space="preserve"> violation</w:t>
            </w:r>
            <w:r>
              <w:t xml:space="preserve"> if </w:t>
            </w:r>
            <w:r w:rsidRPr="00676908">
              <w:t>the attorney general receives a referral from the appropriate regulatory agency indicating that an individual or entity, including a health benefit plan issuer or administrator, has e</w:t>
            </w:r>
            <w:r w:rsidRPr="00676908">
              <w:t>xhibited a pattern of intentionally violating</w:t>
            </w:r>
            <w:r>
              <w:t xml:space="preserve"> the bill's provisions relating to balance billin</w:t>
            </w:r>
            <w:r>
              <w:t>g prohibitions and to recover reasonable</w:t>
            </w:r>
            <w:r w:rsidRPr="001563CA">
              <w:t xml:space="preserve"> fees, costs, and expenses</w:t>
            </w:r>
            <w:r>
              <w:t xml:space="preserve"> </w:t>
            </w:r>
            <w:r w:rsidRPr="001563CA">
              <w:t>incurred in bringing the action</w:t>
            </w:r>
            <w:r>
              <w:t xml:space="preserve"> if the attorney general prevails in the</w:t>
            </w:r>
            <w:r w:rsidRPr="001563CA">
              <w:t xml:space="preserve"> action.</w:t>
            </w:r>
            <w:r>
              <w:t xml:space="preserve"> The bill requires an </w:t>
            </w:r>
            <w:r w:rsidRPr="001563CA">
              <w:t xml:space="preserve">appropriate regulatory agency that licenses, certifies, or otherwise authorizes a physician, health care practitioner, health care facility, or other health care provider to practice or operate in </w:t>
            </w:r>
            <w:r>
              <w:t xml:space="preserve">Texas to </w:t>
            </w:r>
            <w:r w:rsidRPr="006F60C9">
              <w:t>take disciplinary action aga</w:t>
            </w:r>
            <w:r w:rsidRPr="006F60C9">
              <w:t>inst</w:t>
            </w:r>
            <w:r>
              <w:t xml:space="preserve"> such an individual or entity that violates the prohibition against balance billing under the bill's provisions. The bill authorizes such a regulatory agency to adopt rules as necessary to implement this requirement and exempts such a rule from statuto</w:t>
            </w:r>
            <w:r>
              <w:t xml:space="preserve">ry provisions relating to requirements for a rule increasing costs to regulated persons. </w:t>
            </w:r>
          </w:p>
          <w:p w:rsidR="005B22DD" w:rsidRDefault="000F72E1" w:rsidP="00AB56B7">
            <w:pPr>
              <w:pStyle w:val="Header"/>
              <w:jc w:val="both"/>
            </w:pPr>
          </w:p>
          <w:p w:rsidR="007C3C39" w:rsidRDefault="000F72E1" w:rsidP="00AB56B7">
            <w:pPr>
              <w:pStyle w:val="Header"/>
              <w:jc w:val="both"/>
            </w:pPr>
            <w:r>
              <w:t xml:space="preserve">C.S.S.B. 1264 applies provisions relating to out-of-network claim dispute resolution to a </w:t>
            </w:r>
            <w:r w:rsidRPr="005B22DD">
              <w:t>h</w:t>
            </w:r>
            <w:r>
              <w:t xml:space="preserve">ealth benefit plan offered by an HMO and </w:t>
            </w:r>
            <w:r w:rsidRPr="005B22DD">
              <w:t>an exclusive provider benefit pla</w:t>
            </w:r>
            <w:r w:rsidRPr="005B22DD">
              <w:t>n</w:t>
            </w:r>
            <w:r>
              <w:t xml:space="preserve"> offered by an insurer. The bill removes the chief administrative law judge from the entities required to adopt rules </w:t>
            </w:r>
            <w:r w:rsidRPr="005B22DD">
              <w:t xml:space="preserve">as necessary to implement their respective powers and duties under </w:t>
            </w:r>
            <w:r>
              <w:t>provisions relating to out</w:t>
            </w:r>
            <w:r>
              <w:noBreakHyphen/>
            </w:r>
            <w:r>
              <w:t>of</w:t>
            </w:r>
            <w:r>
              <w:noBreakHyphen/>
            </w:r>
            <w:r>
              <w:t>net</w:t>
            </w:r>
            <w:r>
              <w:t>work claim dispute resolution</w:t>
            </w:r>
            <w:r>
              <w:t>. The bi</w:t>
            </w:r>
            <w:r>
              <w:t xml:space="preserve">ll </w:t>
            </w:r>
            <w:r>
              <w:t>exempts</w:t>
            </w:r>
            <w:r>
              <w:t xml:space="preserve"> rules adopted under provisions</w:t>
            </w:r>
            <w:r>
              <w:t xml:space="preserve"> to out</w:t>
            </w:r>
            <w:r>
              <w:noBreakHyphen/>
            </w:r>
            <w:r>
              <w:t>of</w:t>
            </w:r>
            <w:r>
              <w:noBreakHyphen/>
            </w:r>
            <w:r>
              <w:t>network claim dispute resolution</w:t>
            </w:r>
            <w:r>
              <w:t xml:space="preserve"> from statutory provisions relating to requirements for a rule increasing costs to regulated persons. The bill </w:t>
            </w:r>
            <w:r>
              <w:t>clarifies</w:t>
            </w:r>
            <w:r>
              <w:t xml:space="preserve"> the entities that provisions relating </w:t>
            </w:r>
            <w:r w:rsidRPr="00EE37A0">
              <w:t>to out</w:t>
            </w:r>
            <w:r>
              <w:noBreakHyphen/>
            </w:r>
            <w:r w:rsidRPr="00EE37A0">
              <w:t>of-net</w:t>
            </w:r>
            <w:r w:rsidRPr="00EE37A0">
              <w:t>work claim dispute resolutions</w:t>
            </w:r>
            <w:r>
              <w:t xml:space="preserve"> may not be construed to prohibit from offering a reformed claim settlement or charge for health care or medical services or supplies</w:t>
            </w:r>
            <w:r>
              <w:t xml:space="preserve">. </w:t>
            </w:r>
            <w:r>
              <w:t>For purposes of provisions relating to out-of-network claim dispute resolution, the bill de</w:t>
            </w:r>
            <w:r>
              <w:t xml:space="preserve">fines </w:t>
            </w:r>
            <w:r>
              <w:t xml:space="preserve">"out-of-network provider" as </w:t>
            </w:r>
            <w:r w:rsidRPr="00F11599">
              <w:t>a diagnostic imaging provider, emergency care provider, facility-based provider, or laboratory service provider that is not a participating pro</w:t>
            </w:r>
            <w:r>
              <w:t xml:space="preserve">vider for a health benefit plan. </w:t>
            </w:r>
            <w:r>
              <w:t xml:space="preserve">The bill defines "arbitration" as </w:t>
            </w:r>
            <w:r w:rsidRPr="004D0129">
              <w:t>a process i</w:t>
            </w:r>
            <w:r w:rsidRPr="004D0129">
              <w:t>n which an impartial arbiter issues a binding determination in a dispute between a health benefit plan issuer or administrator and an out-of-network provider or the provider's representative to settle a health benefit claim.</w:t>
            </w:r>
            <w:r>
              <w:t xml:space="preserve"> </w:t>
            </w:r>
            <w:r>
              <w:t>The bill revises the definition</w:t>
            </w:r>
            <w:r>
              <w:t xml:space="preserve"> of "party" to exclude </w:t>
            </w:r>
            <w:r>
              <w:t>an enrollee from consideration as a party to mediation and otherwise to</w:t>
            </w:r>
            <w:r>
              <w:t xml:space="preserve"> mean </w:t>
            </w:r>
            <w:r w:rsidRPr="001D78B6">
              <w:t>a health benefit plan issuer offering a health benefit plan, an administrator, or an out-of-network provider or the provider's representative who participat</w:t>
            </w:r>
            <w:r w:rsidRPr="001D78B6">
              <w:t xml:space="preserve">es in a mediation or arbitration conducted under </w:t>
            </w:r>
            <w:r>
              <w:t>those provisions</w:t>
            </w:r>
            <w:r w:rsidRPr="001D78B6">
              <w:t>.</w:t>
            </w:r>
            <w:r>
              <w:t xml:space="preserve"> In addition, the bill defines </w:t>
            </w:r>
            <w:r>
              <w:t>"diagnostic imaging provider," "diagnostic imaging service,"</w:t>
            </w:r>
            <w:r>
              <w:t xml:space="preserve"> and</w:t>
            </w:r>
            <w:r>
              <w:t xml:space="preserve"> </w:t>
            </w:r>
            <w:r>
              <w:t>"laboratory service provider</w:t>
            </w:r>
            <w:r>
              <w:t>,</w:t>
            </w:r>
            <w:r>
              <w:t xml:space="preserve">" </w:t>
            </w:r>
            <w:r>
              <w:t>and</w:t>
            </w:r>
            <w:r>
              <w:t xml:space="preserve"> revise</w:t>
            </w:r>
            <w:r>
              <w:t>s the definitions for "enrollee</w:t>
            </w:r>
            <w:r>
              <w:t>"</w:t>
            </w:r>
            <w:r>
              <w:t xml:space="preserve"> and</w:t>
            </w:r>
            <w:r>
              <w:t xml:space="preserve"> </w:t>
            </w:r>
            <w:r>
              <w:t>"mediation"</w:t>
            </w:r>
            <w:r>
              <w:t xml:space="preserve"> </w:t>
            </w:r>
            <w:r>
              <w:t xml:space="preserve">to conform to the changes in law made by the bill. </w:t>
            </w:r>
          </w:p>
          <w:p w:rsidR="007C3C39" w:rsidRDefault="000F72E1" w:rsidP="00AB56B7">
            <w:pPr>
              <w:pStyle w:val="Header"/>
              <w:jc w:val="both"/>
            </w:pPr>
          </w:p>
          <w:p w:rsidR="002660C1" w:rsidRDefault="000F72E1" w:rsidP="00AB56B7">
            <w:pPr>
              <w:pStyle w:val="Header"/>
              <w:jc w:val="both"/>
            </w:pPr>
            <w:r>
              <w:t xml:space="preserve">C.S.S.B. 1264 </w:t>
            </w:r>
            <w:r>
              <w:t xml:space="preserve">requires the commissioner of insurance to </w:t>
            </w:r>
            <w:r w:rsidRPr="000333C8">
              <w:t>select an organization to maintain a benchmarking database that contains information necessary to calculate, with respect to a health care or medic</w:t>
            </w:r>
            <w:r w:rsidRPr="000333C8">
              <w:t>al service or supply, for each geographical area in</w:t>
            </w:r>
            <w:r>
              <w:t xml:space="preserve"> Texas the </w:t>
            </w:r>
            <w:r>
              <w:t>following:</w:t>
            </w:r>
          </w:p>
          <w:p w:rsidR="002660C1" w:rsidRDefault="000F72E1" w:rsidP="00AB56B7">
            <w:pPr>
              <w:pStyle w:val="Header"/>
              <w:numPr>
                <w:ilvl w:val="0"/>
                <w:numId w:val="11"/>
              </w:numPr>
              <w:spacing w:before="120" w:after="120"/>
              <w:jc w:val="both"/>
            </w:pPr>
            <w:r>
              <w:t xml:space="preserve">the </w:t>
            </w:r>
            <w:r>
              <w:t>80th percentile of billed charges of all physicians or health care providers who are not facilities</w:t>
            </w:r>
            <w:r>
              <w:t xml:space="preserve">; </w:t>
            </w:r>
            <w:r>
              <w:t xml:space="preserve">and </w:t>
            </w:r>
          </w:p>
          <w:p w:rsidR="002660C1" w:rsidRDefault="000F72E1" w:rsidP="00AB56B7">
            <w:pPr>
              <w:pStyle w:val="Header"/>
              <w:numPr>
                <w:ilvl w:val="0"/>
                <w:numId w:val="11"/>
              </w:numPr>
              <w:spacing w:before="120" w:after="120"/>
              <w:jc w:val="both"/>
            </w:pPr>
            <w:r>
              <w:t xml:space="preserve">the </w:t>
            </w:r>
            <w:r>
              <w:t xml:space="preserve">50th percentile of rates paid to participating providers who are not facilities. </w:t>
            </w:r>
          </w:p>
          <w:p w:rsidR="000333C8" w:rsidRDefault="000F72E1" w:rsidP="00AB56B7">
            <w:pPr>
              <w:pStyle w:val="Header"/>
              <w:jc w:val="both"/>
            </w:pPr>
            <w:r>
              <w:t xml:space="preserve">The bill prohibits the commissioner from selecting an </w:t>
            </w:r>
            <w:r w:rsidRPr="000333C8">
              <w:t>organization that is financially affiliated with a health benefit plan issuer.</w:t>
            </w:r>
            <w:r>
              <w:t xml:space="preserve"> </w:t>
            </w:r>
          </w:p>
          <w:p w:rsidR="000962BC" w:rsidRDefault="000F72E1" w:rsidP="00AB56B7">
            <w:pPr>
              <w:pStyle w:val="Header"/>
              <w:jc w:val="both"/>
            </w:pPr>
          </w:p>
          <w:p w:rsidR="0001123C" w:rsidRDefault="000F72E1" w:rsidP="00AB56B7">
            <w:pPr>
              <w:pStyle w:val="Header"/>
              <w:jc w:val="both"/>
            </w:pPr>
            <w:r>
              <w:t xml:space="preserve">C.S.S.B. 1264 </w:t>
            </w:r>
            <w:r>
              <w:t>sets out provisions rela</w:t>
            </w:r>
            <w:r>
              <w:t>t</w:t>
            </w:r>
            <w:r>
              <w:t xml:space="preserve">ing to mandatory mediation with </w:t>
            </w:r>
            <w:r>
              <w:t xml:space="preserve">respect to </w:t>
            </w:r>
            <w:r w:rsidRPr="000962BC">
              <w:t xml:space="preserve">a health benefit claim submitted by an out-of-network provider that is a </w:t>
            </w:r>
            <w:r>
              <w:t xml:space="preserve">licensed </w:t>
            </w:r>
            <w:r>
              <w:t>ambulatory surgical center</w:t>
            </w:r>
            <w:r>
              <w:t>, a licensed</w:t>
            </w:r>
            <w:r>
              <w:t xml:space="preserve"> birthing center</w:t>
            </w:r>
            <w:r>
              <w:t>, a licensed</w:t>
            </w:r>
            <w:r>
              <w:t xml:space="preserve"> hospital</w:t>
            </w:r>
            <w:r>
              <w:t xml:space="preserve">, </w:t>
            </w:r>
            <w:r>
              <w:t xml:space="preserve">or </w:t>
            </w:r>
            <w:r>
              <w:t>a certain</w:t>
            </w:r>
            <w:r>
              <w:t xml:space="preserve"> freestanding emergency medical care facil</w:t>
            </w:r>
            <w:r>
              <w:t>ity</w:t>
            </w:r>
            <w:r>
              <w:t xml:space="preserve">. </w:t>
            </w:r>
            <w:r>
              <w:t>The bill requires the commissioner to take the following actions:</w:t>
            </w:r>
          </w:p>
          <w:p w:rsidR="0001123C" w:rsidRDefault="000F72E1" w:rsidP="00AB56B7">
            <w:pPr>
              <w:pStyle w:val="Header"/>
              <w:numPr>
                <w:ilvl w:val="0"/>
                <w:numId w:val="12"/>
              </w:numPr>
              <w:spacing w:before="120" w:after="120"/>
              <w:jc w:val="both"/>
            </w:pPr>
            <w:r w:rsidRPr="000962BC">
              <w:t>establish and administer a mediation program to resolve disputes over out-of-network provider charges</w:t>
            </w:r>
            <w:r>
              <w:t>; and</w:t>
            </w:r>
          </w:p>
          <w:p w:rsidR="0001123C" w:rsidRDefault="000F72E1" w:rsidP="00AB56B7">
            <w:pPr>
              <w:pStyle w:val="Header"/>
              <w:numPr>
                <w:ilvl w:val="0"/>
                <w:numId w:val="12"/>
              </w:numPr>
              <w:spacing w:before="120" w:after="120"/>
              <w:jc w:val="both"/>
            </w:pPr>
            <w:r>
              <w:t>adopt rules, forms, and procedures necessary for the implementation and admini</w:t>
            </w:r>
            <w:r>
              <w:t xml:space="preserve">stration of the mediation program, including the establishment of a portal on the Texas Department of Insurance </w:t>
            </w:r>
            <w:r>
              <w:t xml:space="preserve">(TDI) </w:t>
            </w:r>
            <w:r>
              <w:t xml:space="preserve">website through which a request for mediation may be submitted and to maintain a list of qualified mediators for the program. </w:t>
            </w:r>
          </w:p>
          <w:p w:rsidR="000962BC" w:rsidRDefault="000F72E1" w:rsidP="00AB56B7">
            <w:pPr>
              <w:pStyle w:val="Header"/>
              <w:jc w:val="both"/>
            </w:pPr>
            <w:r>
              <w:t>The bill re</w:t>
            </w:r>
            <w:r>
              <w:t xml:space="preserve">vises provisions relating to availability of mandatory mediation to authorize an </w:t>
            </w:r>
            <w:r w:rsidRPr="00990BB8">
              <w:t>out</w:t>
            </w:r>
            <w:r>
              <w:noBreakHyphen/>
            </w:r>
            <w:r w:rsidRPr="00990BB8">
              <w:t>of</w:t>
            </w:r>
            <w:r>
              <w:noBreakHyphen/>
            </w:r>
            <w:r w:rsidRPr="00990BB8">
              <w:t>network provider, health benefit plan issuer, or administrator</w:t>
            </w:r>
            <w:r>
              <w:t xml:space="preserve"> to </w:t>
            </w:r>
            <w:r w:rsidRPr="00990BB8">
              <w:t>request mediation of a settlement of an out-of-networ</w:t>
            </w:r>
            <w:r>
              <w:t>k health benefit claim through the</w:t>
            </w:r>
            <w:r w:rsidRPr="00990BB8">
              <w:t xml:space="preserve"> portal on</w:t>
            </w:r>
            <w:r>
              <w:t xml:space="preserve"> the </w:t>
            </w:r>
            <w:r>
              <w:t xml:space="preserve">TDI website if there is an amount billed by the provider and unpaid by the issuer or administrator </w:t>
            </w:r>
            <w:r w:rsidRPr="00990BB8">
              <w:t>after copayments, deductibles, and coinsurance for which an enrollee may not be billed</w:t>
            </w:r>
            <w:r>
              <w:t xml:space="preserve"> and the claim is for emergency care, an out-of-network laboratory serv</w:t>
            </w:r>
            <w:r>
              <w:t>ice, or out-of-network diagnostic imaging service. The bill requires the out-of-network provider or the provider's representative</w:t>
            </w:r>
            <w:r>
              <w:t xml:space="preserve"> and the health benefit plan issuer or the administrator, as appropriate, to participate in the mediation.</w:t>
            </w:r>
          </w:p>
          <w:p w:rsidR="00D34FC7" w:rsidRDefault="000F72E1" w:rsidP="00AB56B7">
            <w:pPr>
              <w:pStyle w:val="Header"/>
              <w:jc w:val="both"/>
            </w:pPr>
          </w:p>
          <w:p w:rsidR="00D34FC7" w:rsidRDefault="000F72E1" w:rsidP="00AB56B7">
            <w:pPr>
              <w:pStyle w:val="Header"/>
              <w:jc w:val="both"/>
            </w:pPr>
            <w:r>
              <w:t xml:space="preserve">C.S.S.B. 1264 </w:t>
            </w:r>
            <w:r>
              <w:t>chang</w:t>
            </w:r>
            <w:r>
              <w:t>es fro</w:t>
            </w:r>
            <w:r>
              <w:t>m the</w:t>
            </w:r>
            <w:r>
              <w:t xml:space="preserve"> chief administrative law judge to the commissioner the person who approves a dispute resolution organization that conducts </w:t>
            </w:r>
            <w:r>
              <w:t xml:space="preserve">the required </w:t>
            </w:r>
            <w:r>
              <w:t>training in dispute resolution techniques and</w:t>
            </w:r>
            <w:r>
              <w:t xml:space="preserve"> requires the commissioner to </w:t>
            </w:r>
            <w:r w:rsidRPr="00D34FC7">
              <w:t xml:space="preserve">immediately terminate the approval of a mediator who no longer meets </w:t>
            </w:r>
            <w:r>
              <w:t>applicable</w:t>
            </w:r>
            <w:r w:rsidRPr="00D34FC7">
              <w:t xml:space="preserve"> requirements and rules adopted under </w:t>
            </w:r>
            <w:r>
              <w:t xml:space="preserve">provisions relating to mandatory mediation for out-of-network </w:t>
            </w:r>
            <w:r>
              <w:t>facilities</w:t>
            </w:r>
            <w:r w:rsidRPr="00D34FC7">
              <w:t xml:space="preserve"> to serve as a mediator.</w:t>
            </w:r>
            <w:r>
              <w:t xml:space="preserve"> </w:t>
            </w:r>
            <w:r>
              <w:t>The bill requires the party requesting med</w:t>
            </w:r>
            <w:r>
              <w:t>iation to notify the commissioner if the parties to the mediation do not select a mediator by mutual agreement on or before the 30th day after the mediation is requested and requires the commissioner to select a mediator from the commissioner's list of app</w:t>
            </w:r>
            <w:r>
              <w:t xml:space="preserve">roved mediators. </w:t>
            </w:r>
            <w:r>
              <w:t xml:space="preserve">The bill provides for the mediator's fees to be split evenly and paid by the parties. </w:t>
            </w:r>
            <w:r>
              <w:t xml:space="preserve">The bill requires the person who </w:t>
            </w:r>
            <w:r w:rsidRPr="00682C45">
              <w:t xml:space="preserve">requests the mediation </w:t>
            </w:r>
            <w:r>
              <w:t>to</w:t>
            </w:r>
            <w:r w:rsidRPr="00682C45">
              <w:t xml:space="preserve"> provide written notice on the date the mediation is requested in the form and manner provided </w:t>
            </w:r>
            <w:r w:rsidRPr="00682C45">
              <w:t>by commissioner rule to</w:t>
            </w:r>
            <w:r>
              <w:t xml:space="preserve"> TDI and each other party.</w:t>
            </w:r>
            <w:r>
              <w:t xml:space="preserve"> </w:t>
            </w:r>
          </w:p>
          <w:p w:rsidR="00956DC4" w:rsidRDefault="000F72E1" w:rsidP="00AB56B7">
            <w:pPr>
              <w:pStyle w:val="Header"/>
              <w:jc w:val="both"/>
            </w:pPr>
          </w:p>
          <w:p w:rsidR="00956DC4" w:rsidRDefault="000F72E1" w:rsidP="00AB56B7">
            <w:pPr>
              <w:pStyle w:val="Header"/>
              <w:jc w:val="both"/>
            </w:pPr>
            <w:r>
              <w:t xml:space="preserve">C.S.S.B. 1264 establishes that an </w:t>
            </w:r>
            <w:r w:rsidRPr="00956DC4">
              <w:t>out-of-network provider has a right to a reasonable payment from an enrollee's health benefit plan for covered services and supplies provided to the enrollee and for whic</w:t>
            </w:r>
            <w:r w:rsidRPr="00956DC4">
              <w:t>h the provider has not been fully reimbursed.</w:t>
            </w:r>
            <w:r>
              <w:t xml:space="preserve"> The bill authorizes either party to a mediation for which there is no agreement, not later than the 45th day after the date the mediator's report concerning the mediation is provided to TDI, to </w:t>
            </w:r>
            <w:r w:rsidRPr="00956DC4">
              <w:t>file a civil act</w:t>
            </w:r>
            <w:r w:rsidRPr="00956DC4">
              <w:t>ion to determine the amount due to an out-of-network provider</w:t>
            </w:r>
            <w:r>
              <w:t xml:space="preserve">, but </w:t>
            </w:r>
            <w:r>
              <w:t xml:space="preserve">prohibits a party from bringing a civil action </w:t>
            </w:r>
            <w:r w:rsidRPr="004344EC">
              <w:t>before the conclusion of the mediation process</w:t>
            </w:r>
            <w:r>
              <w:t xml:space="preserve">. The bill </w:t>
            </w:r>
            <w:r>
              <w:t xml:space="preserve">sets a deadline by which the </w:t>
            </w:r>
            <w:r>
              <w:t>mediator</w:t>
            </w:r>
            <w:r>
              <w:t xml:space="preserve"> must</w:t>
            </w:r>
            <w:r>
              <w:t xml:space="preserve"> report </w:t>
            </w:r>
            <w:r w:rsidRPr="004344EC">
              <w:t>to the commissioner and the Texas M</w:t>
            </w:r>
            <w:r w:rsidRPr="004344EC">
              <w:t>edical Board or other appropriate regulatory agency</w:t>
            </w:r>
            <w:r>
              <w:t xml:space="preserve"> </w:t>
            </w:r>
            <w:r w:rsidRPr="004344EC">
              <w:t xml:space="preserve">the names </w:t>
            </w:r>
            <w:r>
              <w:t>of the parties to the mediation</w:t>
            </w:r>
            <w:r w:rsidRPr="004344EC">
              <w:t xml:space="preserve"> and</w:t>
            </w:r>
            <w:r>
              <w:t xml:space="preserve"> </w:t>
            </w:r>
            <w:r w:rsidRPr="004344EC">
              <w:t>whether the parties reached an agreement</w:t>
            </w:r>
            <w:r>
              <w:t xml:space="preserve">. </w:t>
            </w:r>
          </w:p>
          <w:p w:rsidR="008762CD" w:rsidRDefault="000F72E1" w:rsidP="00AB56B7">
            <w:pPr>
              <w:pStyle w:val="Header"/>
              <w:jc w:val="both"/>
            </w:pPr>
          </w:p>
          <w:p w:rsidR="008762CD" w:rsidRDefault="000F72E1" w:rsidP="00AB56B7">
            <w:pPr>
              <w:pStyle w:val="Header"/>
              <w:jc w:val="both"/>
            </w:pPr>
            <w:r>
              <w:t xml:space="preserve">C.S.S.B. 1264 </w:t>
            </w:r>
            <w:r>
              <w:t xml:space="preserve">sets out provisions relating to mandatory binding arbitration with respect to </w:t>
            </w:r>
            <w:r w:rsidRPr="000962BC">
              <w:t>a health benefit claim</w:t>
            </w:r>
            <w:r w:rsidRPr="000962BC">
              <w:t xml:space="preserve"> submitted by an out-of-network provider </w:t>
            </w:r>
            <w:r>
              <w:t xml:space="preserve">who is not </w:t>
            </w:r>
            <w:r w:rsidRPr="000962BC">
              <w:t xml:space="preserve">a </w:t>
            </w:r>
            <w:r>
              <w:t>licensed ambulatory surgical center, a licensed birthing center, a licensed hospital, or a certain freestanding emergency medical care facility</w:t>
            </w:r>
            <w:r>
              <w:t xml:space="preserve"> and </w:t>
            </w:r>
            <w:r>
              <w:t xml:space="preserve">requires the commissioner to </w:t>
            </w:r>
            <w:r w:rsidRPr="008762CD">
              <w:t xml:space="preserve">establish and administer </w:t>
            </w:r>
            <w:r w:rsidRPr="008762CD">
              <w:t xml:space="preserve">an arbitration program to resolve disputes over </w:t>
            </w:r>
            <w:r>
              <w:t xml:space="preserve">such </w:t>
            </w:r>
            <w:r w:rsidRPr="008762CD">
              <w:t>out-of-network provider charges</w:t>
            </w:r>
            <w:r>
              <w:t xml:space="preserve">. The bill requires the commissioner to </w:t>
            </w:r>
            <w:r w:rsidRPr="008762CD">
              <w:t>adopt rules, forms, and procedures necessary for the implementation and administration of the arbitration program, including the est</w:t>
            </w:r>
            <w:r w:rsidRPr="008762CD">
              <w:t>ablishment of a portal on the</w:t>
            </w:r>
            <w:r>
              <w:t xml:space="preserve"> TDI website </w:t>
            </w:r>
            <w:r w:rsidRPr="008762CD">
              <w:t>through which a request for arbitration</w:t>
            </w:r>
            <w:r>
              <w:t xml:space="preserve"> may be submitted and to maintain a list of qualified arbitrators for the program. The bill establishes that</w:t>
            </w:r>
            <w:r>
              <w:t xml:space="preserve"> the </w:t>
            </w:r>
            <w:r w:rsidRPr="00C56114">
              <w:t xml:space="preserve">only issue that an arbitrator may determine is the reasonable </w:t>
            </w:r>
            <w:r w:rsidRPr="00C56114">
              <w:t>amount for the health care or medical services or supplies provided to the enrollee by an out-of-network provider.</w:t>
            </w:r>
            <w:r>
              <w:t xml:space="preserve"> </w:t>
            </w:r>
            <w:r>
              <w:t xml:space="preserve">The bill sets out the issues the determination is required to take into account. </w:t>
            </w:r>
          </w:p>
          <w:p w:rsidR="00C56114" w:rsidRDefault="000F72E1" w:rsidP="00AB56B7">
            <w:pPr>
              <w:pStyle w:val="Header"/>
              <w:jc w:val="both"/>
            </w:pPr>
          </w:p>
          <w:p w:rsidR="00DB68C3" w:rsidRDefault="000F72E1" w:rsidP="00AB56B7">
            <w:pPr>
              <w:pStyle w:val="Header"/>
              <w:jc w:val="both"/>
            </w:pPr>
            <w:r>
              <w:t xml:space="preserve">C.S.S.B. 1264 authorizes </w:t>
            </w:r>
            <w:r>
              <w:t xml:space="preserve">such </w:t>
            </w:r>
            <w:r>
              <w:t xml:space="preserve">an </w:t>
            </w:r>
            <w:r w:rsidRPr="00C56114">
              <w:t>out-of-network provider</w:t>
            </w:r>
            <w:r w:rsidRPr="00C56114">
              <w:t xml:space="preserve"> or the health benefit plan issuer or administrator</w:t>
            </w:r>
            <w:r>
              <w:t xml:space="preserve">, not later </w:t>
            </w:r>
            <w:r w:rsidRPr="00C56114">
              <w:t>tha</w:t>
            </w:r>
            <w:r>
              <w:t>n the 90th day after the date the</w:t>
            </w:r>
            <w:r w:rsidRPr="00C56114">
              <w:t xml:space="preserve"> out-of-network provider receives the initial payment for a health care or medical service or supply,</w:t>
            </w:r>
            <w:r>
              <w:t xml:space="preserve"> to </w:t>
            </w:r>
            <w:r w:rsidRPr="00C56114">
              <w:t>request arbitration of a settlement of an out-of-net</w:t>
            </w:r>
            <w:r w:rsidRPr="00C56114">
              <w:t xml:space="preserve">work health benefit claim through a portal on the </w:t>
            </w:r>
            <w:r>
              <w:t>TDI</w:t>
            </w:r>
            <w:r w:rsidRPr="00C56114">
              <w:t xml:space="preserve"> website if</w:t>
            </w:r>
            <w:r>
              <w:t xml:space="preserve"> there is a charge billed by the provider and unpaid by the issuer or administrator after copayments, deductibles, and coinsurance for which an enrollee may not be billed and the health benefi</w:t>
            </w:r>
            <w:r>
              <w:t xml:space="preserve">t claim is for certain care or services. The bill </w:t>
            </w:r>
            <w:r>
              <w:t>sets out the following provision</w:t>
            </w:r>
            <w:r>
              <w:t>s</w:t>
            </w:r>
            <w:r>
              <w:t>:</w:t>
            </w:r>
          </w:p>
          <w:p w:rsidR="00DB68C3" w:rsidRDefault="000F72E1" w:rsidP="00AB56B7">
            <w:pPr>
              <w:pStyle w:val="Header"/>
              <w:numPr>
                <w:ilvl w:val="0"/>
                <w:numId w:val="17"/>
              </w:numPr>
              <w:spacing w:before="120" w:after="120"/>
              <w:jc w:val="both"/>
            </w:pPr>
            <w:r>
              <w:t xml:space="preserve">requires the </w:t>
            </w:r>
            <w:r w:rsidRPr="00FF52AE">
              <w:t>out-of-network provider or the provider's representative, and the health benefit plan issuer or the admi</w:t>
            </w:r>
            <w:r>
              <w:t>nistrator, as appropriate, to participate in the arbit</w:t>
            </w:r>
            <w:r>
              <w:t>ration;</w:t>
            </w:r>
          </w:p>
          <w:p w:rsidR="00DB68C3" w:rsidRDefault="000F72E1" w:rsidP="00AB56B7">
            <w:pPr>
              <w:pStyle w:val="Header"/>
              <w:numPr>
                <w:ilvl w:val="0"/>
                <w:numId w:val="17"/>
              </w:numPr>
              <w:spacing w:before="120" w:after="120"/>
              <w:jc w:val="both"/>
            </w:pPr>
            <w:r>
              <w:t xml:space="preserve">requires the person who requested the </w:t>
            </w:r>
            <w:r>
              <w:t xml:space="preserve">arbitration to </w:t>
            </w:r>
            <w:r w:rsidRPr="00137E57">
              <w:t>provide written notice on the date the arbitration is requested in the form and manner prescribed by commissioner rule to</w:t>
            </w:r>
            <w:r>
              <w:t xml:space="preserve"> TDI and each other party</w:t>
            </w:r>
            <w:r>
              <w:t>;</w:t>
            </w:r>
          </w:p>
          <w:p w:rsidR="00DB68C3" w:rsidRDefault="000F72E1" w:rsidP="00AB56B7">
            <w:pPr>
              <w:pStyle w:val="Header"/>
              <w:numPr>
                <w:ilvl w:val="0"/>
                <w:numId w:val="17"/>
              </w:numPr>
              <w:spacing w:before="120" w:after="120"/>
              <w:jc w:val="both"/>
            </w:pPr>
            <w:r>
              <w:t>requires all parties to</w:t>
            </w:r>
            <w:r w:rsidRPr="00137E57">
              <w:t xml:space="preserve"> participate in an informal settlement teleconference not later than the 30th day after the date on which the arbitration is requested</w:t>
            </w:r>
            <w:r>
              <w:t xml:space="preserve"> and requires the</w:t>
            </w:r>
            <w:r w:rsidRPr="00137E57">
              <w:t xml:space="preserve"> health benefit plan issuer or</w:t>
            </w:r>
            <w:r>
              <w:t xml:space="preserve"> administrator, as applicable, to</w:t>
            </w:r>
            <w:r w:rsidRPr="00137E57">
              <w:t xml:space="preserve"> make a reasonable effort to arrange the t</w:t>
            </w:r>
            <w:r w:rsidRPr="00137E57">
              <w:t>eleconference</w:t>
            </w:r>
            <w:r>
              <w:t>;</w:t>
            </w:r>
          </w:p>
          <w:p w:rsidR="00DB68C3" w:rsidRDefault="000F72E1" w:rsidP="00AB56B7">
            <w:pPr>
              <w:pStyle w:val="Header"/>
              <w:numPr>
                <w:ilvl w:val="0"/>
                <w:numId w:val="17"/>
              </w:numPr>
              <w:spacing w:before="120" w:after="120"/>
              <w:jc w:val="both"/>
            </w:pPr>
            <w:r>
              <w:t xml:space="preserve">requires the commissioner to </w:t>
            </w:r>
            <w:r w:rsidRPr="00137E57">
              <w:t>adopt rules providing requirements for submitting arbitration in one proceeding</w:t>
            </w:r>
            <w:r>
              <w:t xml:space="preserve"> and sets out certain requirement for the rules;</w:t>
            </w:r>
          </w:p>
          <w:p w:rsidR="00DB68C3" w:rsidRDefault="000F72E1" w:rsidP="00AB56B7">
            <w:pPr>
              <w:pStyle w:val="Header"/>
              <w:numPr>
                <w:ilvl w:val="0"/>
                <w:numId w:val="17"/>
              </w:numPr>
              <w:spacing w:before="120" w:after="120"/>
              <w:jc w:val="both"/>
            </w:pPr>
            <w:r>
              <w:t xml:space="preserve">prohibits </w:t>
            </w:r>
            <w:r w:rsidRPr="00AC6472">
              <w:t xml:space="preserve">an out-of-network provider, health benefit plan issuer, or administrator </w:t>
            </w:r>
            <w:r>
              <w:t>f</w:t>
            </w:r>
            <w:r>
              <w:t>rom filing</w:t>
            </w:r>
            <w:r w:rsidRPr="00AC6472">
              <w:t xml:space="preserve"> suit for an out-of-network claim until the conclusion of the arbitration on the issue of the amount to be paid in the out-of-network claim dispute. </w:t>
            </w:r>
          </w:p>
          <w:p w:rsidR="00C56114" w:rsidRDefault="000F72E1" w:rsidP="00AB56B7">
            <w:pPr>
              <w:pStyle w:val="Header"/>
              <w:jc w:val="both"/>
            </w:pPr>
            <w:r>
              <w:t xml:space="preserve">The bill </w:t>
            </w:r>
            <w:r>
              <w:t>excepts such an arbitration from Civil Practice and Remedies Code provisions relating t</w:t>
            </w:r>
            <w:r>
              <w:t xml:space="preserve">o alternate methods of dispute resolution. The bill </w:t>
            </w:r>
            <w:r>
              <w:t xml:space="preserve">provides for the selection and approval of the arbitrator and </w:t>
            </w:r>
            <w:r>
              <w:t xml:space="preserve">requires the commissioner to immediately </w:t>
            </w:r>
            <w:r w:rsidRPr="00411B87">
              <w:t xml:space="preserve">terminate the approval of an arbitrator who no longer meets </w:t>
            </w:r>
            <w:r>
              <w:t xml:space="preserve">applicable </w:t>
            </w:r>
            <w:r w:rsidRPr="00411B87">
              <w:t>requirements to serve as an ar</w:t>
            </w:r>
            <w:r w:rsidRPr="00411B87">
              <w:t>bitrator</w:t>
            </w:r>
            <w:r>
              <w:t xml:space="preserve">. The bill sets out </w:t>
            </w:r>
            <w:r>
              <w:t>certain procedures for the arbitration</w:t>
            </w:r>
            <w:r>
              <w:t xml:space="preserve">, including prohibiting a party from engaging in discovery in connection with the arbitration, prohibiting an </w:t>
            </w:r>
            <w:r w:rsidRPr="00DB68C3">
              <w:t xml:space="preserve">arbitrator </w:t>
            </w:r>
            <w:r>
              <w:t>from</w:t>
            </w:r>
            <w:r w:rsidRPr="00DB68C3">
              <w:t xml:space="preserve"> determin</w:t>
            </w:r>
            <w:r>
              <w:t>ing</w:t>
            </w:r>
            <w:r w:rsidRPr="00DB68C3">
              <w:t xml:space="preserve"> whether a health benefit plan covers a particular he</w:t>
            </w:r>
            <w:r w:rsidRPr="00DB68C3">
              <w:t>alth care or medical service or supply</w:t>
            </w:r>
            <w:r>
              <w:t xml:space="preserve">, and </w:t>
            </w:r>
            <w:r>
              <w:t>requiring parties to evenly split and pay the arbitrator’s fees and expenses</w:t>
            </w:r>
            <w:r>
              <w:t>.</w:t>
            </w:r>
          </w:p>
          <w:p w:rsidR="001406A0" w:rsidRDefault="000F72E1" w:rsidP="00AB56B7">
            <w:pPr>
              <w:pStyle w:val="Header"/>
              <w:jc w:val="both"/>
            </w:pPr>
          </w:p>
          <w:p w:rsidR="00411B87" w:rsidRDefault="000F72E1" w:rsidP="00AB56B7">
            <w:pPr>
              <w:pStyle w:val="Header"/>
              <w:jc w:val="both"/>
            </w:pPr>
            <w:r>
              <w:t xml:space="preserve">C.S.S.B. 1264 requires an arbitrator, not later than the 75th day after the date the arbitration is requested, to </w:t>
            </w:r>
            <w:r w:rsidRPr="001406A0">
              <w:t>provide the parties</w:t>
            </w:r>
            <w:r w:rsidRPr="001406A0">
              <w:t xml:space="preserve"> with a written decision</w:t>
            </w:r>
            <w:r>
              <w:t xml:space="preserve"> in which the arbitrator: </w:t>
            </w:r>
          </w:p>
          <w:p w:rsidR="00411B87" w:rsidRDefault="000F72E1" w:rsidP="00AB56B7">
            <w:pPr>
              <w:pStyle w:val="Header"/>
              <w:numPr>
                <w:ilvl w:val="0"/>
                <w:numId w:val="13"/>
              </w:numPr>
              <w:spacing w:before="120" w:after="120"/>
              <w:jc w:val="both"/>
            </w:pPr>
            <w:r>
              <w:t>determines whether the billed charge or initial payment by the issuer or administrator is the closest reasonable amount for the services or supplies determined in a certain manner, provided that if the out</w:t>
            </w:r>
            <w:r>
              <w:t>-of-network provider elects to participate in the issuer's or administrator's internal appeal process before arbitration:</w:t>
            </w:r>
          </w:p>
          <w:p w:rsidR="00411B87" w:rsidRDefault="000F72E1" w:rsidP="00AB56B7">
            <w:pPr>
              <w:pStyle w:val="Header"/>
              <w:numPr>
                <w:ilvl w:val="1"/>
                <w:numId w:val="13"/>
              </w:numPr>
              <w:spacing w:before="120" w:after="120"/>
              <w:jc w:val="both"/>
            </w:pPr>
            <w:r>
              <w:t>the provider may revise the billed charge to correct a billing error before the completion of the appeal process; and</w:t>
            </w:r>
          </w:p>
          <w:p w:rsidR="00411B87" w:rsidRDefault="000F72E1" w:rsidP="00AB56B7">
            <w:pPr>
              <w:pStyle w:val="Header"/>
              <w:numPr>
                <w:ilvl w:val="1"/>
                <w:numId w:val="13"/>
              </w:numPr>
              <w:spacing w:before="120" w:after="120"/>
              <w:jc w:val="both"/>
            </w:pPr>
            <w:r>
              <w:t xml:space="preserve">the health </w:t>
            </w:r>
            <w:r>
              <w:t>benefit plan issuer or administrator may increase the initial payment under the appeal process;</w:t>
            </w:r>
            <w:r>
              <w:t xml:space="preserve"> and </w:t>
            </w:r>
          </w:p>
          <w:p w:rsidR="007F2B8F" w:rsidRDefault="000F72E1" w:rsidP="00AB56B7">
            <w:pPr>
              <w:pStyle w:val="Header"/>
              <w:numPr>
                <w:ilvl w:val="0"/>
                <w:numId w:val="13"/>
              </w:numPr>
              <w:spacing w:before="120" w:after="120"/>
              <w:jc w:val="both"/>
            </w:pPr>
            <w:r w:rsidRPr="001406A0">
              <w:t>selects the billed charge or initial payment</w:t>
            </w:r>
            <w:r>
              <w:t xml:space="preserve"> as the binding award amount. </w:t>
            </w:r>
          </w:p>
          <w:p w:rsidR="007F2B8F" w:rsidRDefault="000F72E1" w:rsidP="00AB56B7">
            <w:pPr>
              <w:pStyle w:val="Header"/>
              <w:jc w:val="both"/>
            </w:pPr>
            <w:r>
              <w:t>The bill prohibits an arbitrator from modifying the binding award amount and est</w:t>
            </w:r>
            <w:r>
              <w:t>ablishes that the arbitrator's decision is binding.</w:t>
            </w:r>
            <w:r>
              <w:t xml:space="preserve"> The bill requ</w:t>
            </w:r>
            <w:r>
              <w:t>ires:</w:t>
            </w:r>
          </w:p>
          <w:p w:rsidR="007F2B8F" w:rsidRDefault="000F72E1" w:rsidP="00AB56B7">
            <w:pPr>
              <w:pStyle w:val="Header"/>
              <w:numPr>
                <w:ilvl w:val="0"/>
                <w:numId w:val="14"/>
              </w:numPr>
              <w:spacing w:before="120" w:after="120"/>
              <w:jc w:val="both"/>
            </w:pPr>
            <w:r>
              <w:t xml:space="preserve">the </w:t>
            </w:r>
            <w:r>
              <w:t xml:space="preserve">arbitrator to </w:t>
            </w:r>
            <w:r w:rsidRPr="0002606D">
              <w:t>provide written notice in the form and manner prescribed by commissioner rule of the reasonable amount for the services or supplies and the binding award amount</w:t>
            </w:r>
            <w:r>
              <w:t>; and</w:t>
            </w:r>
          </w:p>
          <w:p w:rsidR="007F2B8F" w:rsidRDefault="000F72E1" w:rsidP="00AB56B7">
            <w:pPr>
              <w:pStyle w:val="Header"/>
              <w:numPr>
                <w:ilvl w:val="0"/>
                <w:numId w:val="14"/>
              </w:numPr>
              <w:spacing w:before="120" w:after="120"/>
              <w:jc w:val="both"/>
            </w:pPr>
            <w:r>
              <w:t>t</w:t>
            </w:r>
            <w:r>
              <w:t xml:space="preserve">he parties, if </w:t>
            </w:r>
            <w:r w:rsidRPr="0002606D">
              <w:t>the parties settle before a decision,</w:t>
            </w:r>
            <w:r>
              <w:t xml:space="preserve"> to </w:t>
            </w:r>
            <w:r w:rsidRPr="0002606D">
              <w:t>provide written notice in the form and manner prescribed by commissioner rule of the amount of the settlement.</w:t>
            </w:r>
            <w:r>
              <w:t xml:space="preserve"> </w:t>
            </w:r>
          </w:p>
          <w:p w:rsidR="007F2B8F" w:rsidRDefault="000F72E1" w:rsidP="00AB56B7">
            <w:pPr>
              <w:pStyle w:val="Header"/>
              <w:jc w:val="both"/>
            </w:pPr>
            <w:r>
              <w:t xml:space="preserve">The bill requires TDI to maintain a record of such notices. </w:t>
            </w:r>
          </w:p>
          <w:p w:rsidR="007F2B8F" w:rsidRDefault="000F72E1" w:rsidP="00AB56B7">
            <w:pPr>
              <w:pStyle w:val="Header"/>
              <w:jc w:val="both"/>
            </w:pPr>
          </w:p>
          <w:p w:rsidR="001406A0" w:rsidRDefault="000F72E1" w:rsidP="00AB56B7">
            <w:pPr>
              <w:pStyle w:val="Header"/>
              <w:jc w:val="both"/>
            </w:pPr>
            <w:r>
              <w:t xml:space="preserve">C.S.S.B. 1264 </w:t>
            </w:r>
            <w:r>
              <w:t>authorizes a</w:t>
            </w:r>
            <w:r>
              <w:t xml:space="preserve"> party not satisfied with the decision, not </w:t>
            </w:r>
            <w:r w:rsidRPr="0002606D">
              <w:t>later than the 45th day after the date of an arbitrator's decision</w:t>
            </w:r>
            <w:r>
              <w:t xml:space="preserve">, to </w:t>
            </w:r>
            <w:r w:rsidRPr="0002606D">
              <w:t>file an action to determine the payment du</w:t>
            </w:r>
            <w:r>
              <w:t>e to an out</w:t>
            </w:r>
            <w:r>
              <w:noBreakHyphen/>
            </w:r>
            <w:r>
              <w:t>of</w:t>
            </w:r>
            <w:r>
              <w:noBreakHyphen/>
            </w:r>
            <w:r>
              <w:t xml:space="preserve">network provider and requires a court, in such an action, to </w:t>
            </w:r>
            <w:r w:rsidRPr="0002606D">
              <w:t>determine whether the a</w:t>
            </w:r>
            <w:r w:rsidRPr="0002606D">
              <w:t>rbitrator's decision is proper based on a substantial evidence standard of review.</w:t>
            </w:r>
            <w:r>
              <w:t xml:space="preserve"> </w:t>
            </w:r>
            <w:r>
              <w:t xml:space="preserve">The bill requires the </w:t>
            </w:r>
            <w:r w:rsidRPr="005A66D3">
              <w:t>health benefit plan issuer or administrator</w:t>
            </w:r>
            <w:r>
              <w:t xml:space="preserve">, not later than the 10th day after the arbitrator's decision or a court's determination in such an action, </w:t>
            </w:r>
            <w:r>
              <w:t xml:space="preserve">to </w:t>
            </w:r>
            <w:r w:rsidRPr="005A66D3">
              <w:t>pay to an out-of-network provider any additional amount necessary to satisfy the binding award or the court's determination, as applicable.</w:t>
            </w:r>
            <w:r>
              <w:t xml:space="preserve"> </w:t>
            </w:r>
          </w:p>
          <w:p w:rsidR="00676908" w:rsidRDefault="000F72E1" w:rsidP="00AB56B7">
            <w:pPr>
              <w:pStyle w:val="Header"/>
              <w:jc w:val="both"/>
            </w:pPr>
          </w:p>
          <w:p w:rsidR="001D369A" w:rsidRDefault="000F72E1" w:rsidP="00AB56B7">
            <w:pPr>
              <w:pStyle w:val="Header"/>
              <w:jc w:val="both"/>
            </w:pPr>
            <w:r>
              <w:t>C.S.S.B. 1264 expands</w:t>
            </w:r>
            <w:r>
              <w:t xml:space="preserve"> provisions relating to bad faith participation in mediation</w:t>
            </w:r>
            <w:r>
              <w:t xml:space="preserve"> and penalties for such</w:t>
            </w:r>
            <w:r>
              <w:t xml:space="preserve"> </w:t>
            </w:r>
            <w:r>
              <w:t xml:space="preserve">to include participation in </w:t>
            </w:r>
            <w:r>
              <w:t xml:space="preserve">arbitration as provided by the bill. The bill </w:t>
            </w:r>
            <w:r>
              <w:t xml:space="preserve">includes failing to participate in the informal settlement teleconference or an arbitration, failing to provide information to an arbitrator, and failing to </w:t>
            </w:r>
            <w:r w:rsidRPr="00957A48">
              <w:t>designate a representativ</w:t>
            </w:r>
            <w:r w:rsidRPr="00957A48">
              <w:t>e participating in the arbitration</w:t>
            </w:r>
            <w:r>
              <w:t xml:space="preserve"> </w:t>
            </w:r>
            <w:r w:rsidRPr="00957A48">
              <w:t>with full authority to enter into any</w:t>
            </w:r>
            <w:r>
              <w:t xml:space="preserve"> agreement among the acts that constitute bad faith participation</w:t>
            </w:r>
            <w:r>
              <w:t xml:space="preserve"> in resolving an out-of-network claim dispute</w:t>
            </w:r>
            <w:r>
              <w:t xml:space="preserve">. </w:t>
            </w:r>
          </w:p>
          <w:p w:rsidR="001D369A" w:rsidRDefault="000F72E1" w:rsidP="00AB56B7">
            <w:pPr>
              <w:pStyle w:val="Header"/>
              <w:jc w:val="both"/>
            </w:pPr>
          </w:p>
          <w:p w:rsidR="005A66D3" w:rsidRDefault="000F72E1" w:rsidP="00AB56B7">
            <w:pPr>
              <w:pStyle w:val="Header"/>
              <w:jc w:val="both"/>
            </w:pPr>
            <w:r>
              <w:t xml:space="preserve">C.S.S.B. 1264 </w:t>
            </w:r>
            <w:r>
              <w:t>revises requirements for rules adopted by the commission</w:t>
            </w:r>
            <w:r>
              <w:t xml:space="preserve">er </w:t>
            </w:r>
            <w:r w:rsidRPr="00957A48">
              <w:t>and the Texas Medical Board or other regulatory agency, as appropriate,</w:t>
            </w:r>
            <w:r>
              <w:t xml:space="preserve"> that regulate </w:t>
            </w:r>
            <w:r w:rsidRPr="00957A48">
              <w:t>the investigation and review of a complaint filed that relates to the settlement of an out-of-network health benefit claim</w:t>
            </w:r>
            <w:r>
              <w:t xml:space="preserve"> and revises the information that TDI </w:t>
            </w:r>
            <w:r w:rsidRPr="009D641B">
              <w:t>and the</w:t>
            </w:r>
            <w:r w:rsidRPr="009D641B">
              <w:t xml:space="preserve"> Texas Medical Board or other appropriate regulatory agency</w:t>
            </w:r>
            <w:r>
              <w:t xml:space="preserve"> is required to maintain. </w:t>
            </w:r>
            <w:r>
              <w:t>The bill provides for the applicability of its provisions.</w:t>
            </w:r>
          </w:p>
          <w:p w:rsidR="00A0188E" w:rsidRDefault="000F72E1" w:rsidP="00AB56B7">
            <w:pPr>
              <w:pStyle w:val="Header"/>
              <w:jc w:val="both"/>
            </w:pPr>
          </w:p>
          <w:p w:rsidR="005833F5" w:rsidRDefault="000F72E1" w:rsidP="00AB56B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C.S.S.B. 1264 requires TDI, each biennium, to </w:t>
            </w:r>
            <w:r w:rsidRPr="00A0188E">
              <w:t>conduct a study on the impacts of</w:t>
            </w:r>
            <w:r>
              <w:t xml:space="preserve"> the bill's provisions </w:t>
            </w:r>
            <w:r w:rsidRPr="00A0188E">
              <w:t xml:space="preserve">on Texas </w:t>
            </w:r>
            <w:r w:rsidRPr="00A0188E">
              <w:t>consumers and health coverage in</w:t>
            </w:r>
            <w:r>
              <w:t xml:space="preserve"> Texas. The bill sets out the issues included in the study. The bill requires TDI, in conducting the study, to </w:t>
            </w:r>
            <w:r w:rsidRPr="00A0188E">
              <w:t>collect settlement data and verdicts or arbitration awards, as applicable, from parties to mediation or arbitrati</w:t>
            </w:r>
            <w:r w:rsidRPr="00A0188E">
              <w:t>on</w:t>
            </w:r>
            <w:r>
              <w:t xml:space="preserve">. The bill requires TDI to </w:t>
            </w:r>
            <w:r w:rsidRPr="00A0188E">
              <w:t>collect data quarterly from a health benefit plan issuer or administrator</w:t>
            </w:r>
            <w:r>
              <w:t xml:space="preserve"> </w:t>
            </w:r>
            <w:r w:rsidRPr="00A0188E">
              <w:t>to conduct the study</w:t>
            </w:r>
            <w:r>
              <w:t xml:space="preserve"> and authorizes TDI to </w:t>
            </w:r>
            <w:r>
              <w:t>use</w:t>
            </w:r>
            <w:r w:rsidRPr="00A0188E">
              <w:t xml:space="preserve"> </w:t>
            </w:r>
            <w:r w:rsidRPr="00A0188E">
              <w:t>any reliable external resource or entity to acquire information reasonably necessary to prepare the report</w:t>
            </w:r>
            <w:r>
              <w:t xml:space="preserve">. The bill requires TDI, not </w:t>
            </w:r>
            <w:r w:rsidRPr="00A0188E">
              <w:t>later than December 1 of each even-numbered year,</w:t>
            </w:r>
            <w:r>
              <w:t xml:space="preserve"> to </w:t>
            </w:r>
            <w:r w:rsidRPr="00A0188E">
              <w:t>prepare and submit a written report on the results of the study</w:t>
            </w:r>
            <w:r>
              <w:t>, including the findings of TDI, to the legislature.</w:t>
            </w:r>
            <w:r>
              <w:t xml:space="preserve">  </w:t>
            </w:r>
          </w:p>
          <w:p w:rsidR="005833F5" w:rsidRDefault="000F72E1" w:rsidP="00AB56B7">
            <w:pPr>
              <w:pStyle w:val="Header"/>
              <w:jc w:val="both"/>
              <w:rPr>
                <w:b/>
              </w:rPr>
            </w:pPr>
          </w:p>
          <w:p w:rsidR="00AA39F2" w:rsidRDefault="000F72E1" w:rsidP="00AB56B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C.S.S.B. 1264 applies only </w:t>
            </w:r>
            <w:r w:rsidRPr="002C6757">
              <w:t xml:space="preserve">to a health care or medical </w:t>
            </w:r>
            <w:r w:rsidRPr="002C6757">
              <w:t>service or supply provided on or after January 1, 2020.</w:t>
            </w:r>
            <w:r>
              <w:t xml:space="preserve"> The bill establishes that TDI, </w:t>
            </w:r>
            <w:r w:rsidRPr="002C6757">
              <w:t xml:space="preserve">the Employees Retirement System of Texas, the Teacher Retirement System of Texas, and any other state agency subject to </w:t>
            </w:r>
            <w:r>
              <w:t>the bill's provisions are required to implement a</w:t>
            </w:r>
            <w:r>
              <w:t xml:space="preserve"> provision of the bill only if the </w:t>
            </w:r>
            <w:r w:rsidRPr="00FA0810">
              <w:t>legislature appropriates money specifically for that purpose</w:t>
            </w:r>
            <w:r>
              <w:t xml:space="preserve"> and that those agencies may, but are not required to, implement a provision of the bill </w:t>
            </w:r>
            <w:r w:rsidRPr="00FA0810">
              <w:t>using other appropriations available for that purpose.</w:t>
            </w:r>
            <w:r>
              <w:t xml:space="preserve">   </w:t>
            </w:r>
            <w:r>
              <w:t xml:space="preserve"> </w:t>
            </w:r>
            <w:r>
              <w:t xml:space="preserve"> </w:t>
            </w:r>
          </w:p>
          <w:p w:rsidR="004D4FE0" w:rsidRDefault="000F72E1" w:rsidP="00AB56B7">
            <w:pPr>
              <w:pStyle w:val="Header"/>
              <w:jc w:val="both"/>
            </w:pPr>
          </w:p>
          <w:p w:rsidR="00A21A08" w:rsidRDefault="000F72E1" w:rsidP="00AB56B7">
            <w:pPr>
              <w:pStyle w:val="Header"/>
              <w:jc w:val="both"/>
            </w:pPr>
            <w:r>
              <w:t>C.S.S.B. 12</w:t>
            </w:r>
            <w:r>
              <w:t xml:space="preserve">64 </w:t>
            </w:r>
            <w:r>
              <w:t>repeals the following provisions of the Insurance Code:</w:t>
            </w:r>
          </w:p>
          <w:p w:rsidR="009D641B" w:rsidRDefault="000F72E1" w:rsidP="00AB56B7">
            <w:pPr>
              <w:pStyle w:val="Header"/>
              <w:numPr>
                <w:ilvl w:val="0"/>
                <w:numId w:val="5"/>
              </w:numPr>
              <w:spacing w:before="120" w:after="120"/>
              <w:jc w:val="both"/>
            </w:pPr>
            <w:r w:rsidRPr="009D641B">
              <w:t>Section 1456.004(c)</w:t>
            </w:r>
          </w:p>
          <w:p w:rsidR="009D641B" w:rsidRDefault="000F72E1" w:rsidP="00AB56B7">
            <w:pPr>
              <w:pStyle w:val="Header"/>
              <w:numPr>
                <w:ilvl w:val="0"/>
                <w:numId w:val="5"/>
              </w:numPr>
              <w:spacing w:before="120" w:after="120"/>
              <w:jc w:val="both"/>
            </w:pPr>
            <w:r w:rsidRPr="009D641B">
              <w:t>Section 1467.001(2)</w:t>
            </w:r>
          </w:p>
          <w:p w:rsidR="004D4FE0" w:rsidRPr="004D4FE0" w:rsidRDefault="000F72E1" w:rsidP="00AB56B7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4D4FE0">
              <w:t>Sections 14</w:t>
            </w:r>
            <w:r>
              <w:t>67.051(c) and (d)</w:t>
            </w:r>
          </w:p>
          <w:p w:rsidR="004D4FE0" w:rsidRDefault="000F72E1" w:rsidP="00AB56B7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1467.0511</w:t>
            </w:r>
          </w:p>
          <w:p w:rsidR="009D641B" w:rsidRPr="004D4FE0" w:rsidRDefault="000F72E1" w:rsidP="00AB56B7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9D641B">
              <w:t>Sections 1467.053(b) and (c)</w:t>
            </w:r>
          </w:p>
          <w:p w:rsidR="004D4FE0" w:rsidRPr="004D4FE0" w:rsidRDefault="000F72E1" w:rsidP="00AB56B7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Sections 1467.054</w:t>
            </w:r>
            <w:r>
              <w:t xml:space="preserve">(b), (c), </w:t>
            </w:r>
            <w:r>
              <w:t>(f) and (g)</w:t>
            </w:r>
          </w:p>
          <w:p w:rsidR="004D4FE0" w:rsidRDefault="000F72E1" w:rsidP="00AB56B7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4D4FE0">
              <w:t>Section 1467.055(d)</w:t>
            </w:r>
            <w:r>
              <w:t xml:space="preserve"> and (h)</w:t>
            </w:r>
          </w:p>
          <w:p w:rsidR="009D641B" w:rsidRDefault="000F72E1" w:rsidP="00AB56B7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9D641B">
              <w:t>Section 1467.0</w:t>
            </w:r>
            <w:r w:rsidRPr="009D641B">
              <w:t>57</w:t>
            </w:r>
          </w:p>
          <w:p w:rsidR="009D641B" w:rsidRDefault="000F72E1" w:rsidP="00AB56B7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861C0A">
              <w:t>Section 1467.058</w:t>
            </w:r>
          </w:p>
          <w:p w:rsidR="00861C0A" w:rsidRPr="004D4FE0" w:rsidRDefault="000F72E1" w:rsidP="00AB56B7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861C0A">
              <w:t>Section 1467.059</w:t>
            </w:r>
          </w:p>
          <w:p w:rsidR="004D4FE0" w:rsidRDefault="000F72E1" w:rsidP="00AB56B7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Section 1467.151(d) </w:t>
            </w:r>
          </w:p>
          <w:p w:rsidR="002C6757" w:rsidRPr="00835628" w:rsidRDefault="000F72E1" w:rsidP="00AB56B7">
            <w:pPr>
              <w:pStyle w:val="Header"/>
              <w:jc w:val="both"/>
              <w:rPr>
                <w:b/>
              </w:rPr>
            </w:pPr>
          </w:p>
        </w:tc>
      </w:tr>
      <w:tr w:rsidR="00A90551" w:rsidTr="00F921B9">
        <w:tc>
          <w:tcPr>
            <w:tcW w:w="9576" w:type="dxa"/>
          </w:tcPr>
          <w:p w:rsidR="008423E4" w:rsidRPr="00A8133F" w:rsidRDefault="000F72E1" w:rsidP="00AB56B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F72E1" w:rsidP="00AB56B7"/>
          <w:p w:rsidR="008423E4" w:rsidRDefault="000F72E1" w:rsidP="00AB56B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2E4B51" w:rsidRPr="00644E33" w:rsidRDefault="000F72E1" w:rsidP="00AB56B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A90551" w:rsidTr="00F921B9">
        <w:tc>
          <w:tcPr>
            <w:tcW w:w="9576" w:type="dxa"/>
          </w:tcPr>
          <w:p w:rsidR="00BB70B5" w:rsidRDefault="000F72E1" w:rsidP="00BB70B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:rsidR="00386572" w:rsidRDefault="000F72E1" w:rsidP="00BB70B5">
            <w:pPr>
              <w:jc w:val="both"/>
              <w:rPr>
                <w:b/>
                <w:u w:val="single"/>
              </w:rPr>
            </w:pPr>
          </w:p>
          <w:p w:rsidR="00DB1A3E" w:rsidRDefault="000F72E1" w:rsidP="00DB1A3E">
            <w:pPr>
              <w:jc w:val="both"/>
            </w:pPr>
            <w:r>
              <w:t>While C.S.S.B. 1264 may differ from the engrossed in minor or nonsubstantive ways, the following summarizes the</w:t>
            </w:r>
            <w:r>
              <w:t xml:space="preserve"> substantial differences between the engrossed and committee substitute versions of the bill.</w:t>
            </w:r>
          </w:p>
          <w:p w:rsidR="00DB1A3E" w:rsidRDefault="000F72E1" w:rsidP="00DB1A3E">
            <w:pPr>
              <w:jc w:val="both"/>
            </w:pPr>
          </w:p>
          <w:p w:rsidR="00DB1A3E" w:rsidRDefault="000F72E1" w:rsidP="00DB1A3E">
            <w:pPr>
              <w:jc w:val="both"/>
            </w:pPr>
            <w:r>
              <w:t xml:space="preserve">The substitute does not include provisions requiring an HMO, insurer, or administrator of a managed care plan under the </w:t>
            </w:r>
            <w:r w:rsidRPr="00D1679D">
              <w:t>Texas Employees Group Benefits Act</w:t>
            </w:r>
            <w:r>
              <w:t xml:space="preserve">, </w:t>
            </w:r>
            <w:r w:rsidRPr="00D1679D">
              <w:t>the Texas Public School Retired Employees Group Benefits Act</w:t>
            </w:r>
            <w:r>
              <w:t xml:space="preserve">, or the </w:t>
            </w:r>
            <w:r w:rsidRPr="00F746C6">
              <w:t>Texas School Employees Uniform Group Health Coverage Act</w:t>
            </w:r>
            <w:r>
              <w:t xml:space="preserve"> to provide</w:t>
            </w:r>
            <w:r w:rsidRPr="00F746C6">
              <w:t xml:space="preserve"> </w:t>
            </w:r>
            <w:r>
              <w:t xml:space="preserve">certain </w:t>
            </w:r>
            <w:r w:rsidRPr="00F746C6">
              <w:t>written notice in an explanation of benefits provided to an enrollee and the physician or provider</w:t>
            </w:r>
            <w:r>
              <w:t xml:space="preserve"> of required </w:t>
            </w:r>
            <w:r>
              <w:t>emergency care coverage, non-network or out</w:t>
            </w:r>
            <w:r>
              <w:noBreakHyphen/>
              <w:t xml:space="preserve">of-network facility-based provider coverage, and </w:t>
            </w:r>
            <w:r w:rsidRPr="00244C79">
              <w:t>a non-network</w:t>
            </w:r>
            <w:r>
              <w:t xml:space="preserve"> or out-of-network</w:t>
            </w:r>
            <w:r w:rsidRPr="00244C79">
              <w:t xml:space="preserve"> diagnostic imaging provider or laboratory service prov</w:t>
            </w:r>
            <w:r>
              <w:t>ider coverage, as applicable, including a statement of certain billing prohib</w:t>
            </w:r>
            <w:r>
              <w:t xml:space="preserve">itions. The substitute instead includes a requirement for a health benefit plan issuer or administrator to provide certain written notice </w:t>
            </w:r>
            <w:r w:rsidRPr="00114D95">
              <w:t>in an explanation of benefits provided to the enrollee and the out-of-network provider in connection with a health car</w:t>
            </w:r>
            <w:r w:rsidRPr="00114D95">
              <w:t>e service or supply that is subject to the required coverages</w:t>
            </w:r>
            <w:r>
              <w:t xml:space="preserve">. </w:t>
            </w:r>
          </w:p>
          <w:p w:rsidR="00DB1A3E" w:rsidRDefault="000F72E1" w:rsidP="00DB1A3E">
            <w:pPr>
              <w:jc w:val="both"/>
            </w:pPr>
          </w:p>
          <w:p w:rsidR="00DB1A3E" w:rsidRDefault="000F72E1" w:rsidP="00DB1A3E">
            <w:pPr>
              <w:jc w:val="both"/>
            </w:pPr>
            <w:r>
              <w:t xml:space="preserve">The substitute does not include requirements for an HMO, insurer, or an administrator of an applicable managed care plan </w:t>
            </w:r>
            <w:r w:rsidRPr="00B36F24">
              <w:t>to pay for</w:t>
            </w:r>
            <w:r>
              <w:t xml:space="preserve"> emergency care,</w:t>
            </w:r>
            <w:r w:rsidRPr="00B36F24">
              <w:t xml:space="preserve"> a health care service or supply related to </w:t>
            </w:r>
            <w:r w:rsidRPr="00B36F24">
              <w:t>that service provided to an enrollee by a non-network</w:t>
            </w:r>
            <w:r>
              <w:t xml:space="preserve"> or out-of-network</w:t>
            </w:r>
            <w:r w:rsidRPr="00B36F24">
              <w:t xml:space="preserve"> physician or provider who is a facility-based provider, a non-network</w:t>
            </w:r>
            <w:r>
              <w:t xml:space="preserve"> or out-of-network</w:t>
            </w:r>
            <w:r w:rsidRPr="00B36F24">
              <w:t xml:space="preserve"> diagnostic imaging provider or laboratory service provider,</w:t>
            </w:r>
            <w:r>
              <w:t xml:space="preserve"> as applicable,</w:t>
            </w:r>
            <w:r w:rsidRPr="00B36F24">
              <w:t xml:space="preserve"> at the usual and cust</w:t>
            </w:r>
            <w:r w:rsidRPr="00B36F24">
              <w:t>omary rate or at an agreed rate</w:t>
            </w:r>
            <w:r>
              <w:t xml:space="preserve"> or requirements for applicable managed care plans to provide </w:t>
            </w:r>
            <w:r w:rsidRPr="007413E7">
              <w:t>out-of-network emergency care coverage</w:t>
            </w:r>
            <w:r>
              <w:t xml:space="preserve">, </w:t>
            </w:r>
            <w:r w:rsidRPr="00CE61AF">
              <w:t>out-of-network facility-based provider coverage</w:t>
            </w:r>
            <w:r>
              <w:t xml:space="preserve">, and </w:t>
            </w:r>
            <w:r w:rsidRPr="00CE61AF">
              <w:t>out-of-network diagnostic imaging provider and laboratory service prov</w:t>
            </w:r>
            <w:r w:rsidRPr="00CE61AF">
              <w:t>ider coverage</w:t>
            </w:r>
            <w:r>
              <w:t xml:space="preserve">. The substitute instead includes requirements for certain health benefit plans to provide emergency care coverage, coverage for </w:t>
            </w:r>
            <w:r w:rsidRPr="002A4506">
              <w:t xml:space="preserve">a health care or medical service performed for or a supply related to that service provided to an enrollee by an </w:t>
            </w:r>
            <w:r w:rsidRPr="002A4506">
              <w:t>out-of-network provider who is a facility-based provider</w:t>
            </w:r>
            <w:r>
              <w:t xml:space="preserve"> or a</w:t>
            </w:r>
            <w:r w:rsidRPr="002A4506">
              <w:t xml:space="preserve"> diagnostic imaging provider or laboratory service provider</w:t>
            </w:r>
            <w:r>
              <w:t xml:space="preserve"> at the usual and customary rate </w:t>
            </w:r>
            <w:r w:rsidRPr="00AB56B7">
              <w:t>or at an agreed rate.</w:t>
            </w:r>
          </w:p>
          <w:p w:rsidR="00DB1A3E" w:rsidRDefault="000F72E1" w:rsidP="00DB1A3E">
            <w:pPr>
              <w:jc w:val="both"/>
            </w:pPr>
          </w:p>
          <w:p w:rsidR="00DB1A3E" w:rsidRDefault="000F72E1" w:rsidP="00DB1A3E">
            <w:pPr>
              <w:jc w:val="both"/>
            </w:pPr>
            <w:r>
              <w:t xml:space="preserve">The substitute includes a requirement for an HMO, insurer, and an administrator </w:t>
            </w:r>
            <w:r>
              <w:t xml:space="preserve">to act on a clean claim </w:t>
            </w:r>
            <w:r w:rsidRPr="00243D8B">
              <w:t>related to a health care or medical service or supply</w:t>
            </w:r>
            <w:r>
              <w:t xml:space="preserve"> as if the </w:t>
            </w:r>
            <w:r w:rsidRPr="00243D8B">
              <w:t>out-of-network provider is a participating physician or provider</w:t>
            </w:r>
            <w:r>
              <w:t xml:space="preserve"> or preferred provider and as if the administrator is an insurer, as applicable.</w:t>
            </w:r>
          </w:p>
          <w:p w:rsidR="00DB1A3E" w:rsidRDefault="000F72E1" w:rsidP="00DB1A3E">
            <w:pPr>
              <w:jc w:val="both"/>
            </w:pPr>
          </w:p>
          <w:p w:rsidR="00DB1A3E" w:rsidRDefault="000F72E1" w:rsidP="00DB1A3E">
            <w:pPr>
              <w:jc w:val="both"/>
            </w:pPr>
            <w:r>
              <w:t>The substitute revises</w:t>
            </w:r>
            <w:r>
              <w:t xml:space="preserve"> provisions relating to an injunction for balance billing and enforcement by a regulatory agency to condition an action brought by the attorney general on a referral from the appropriate regulatory agency and to require, rather than authorize, disciplinary</w:t>
            </w:r>
            <w:r>
              <w:t xml:space="preserve"> action against a </w:t>
            </w:r>
            <w:r w:rsidRPr="008751BE">
              <w:t xml:space="preserve">physician, practitioner, facility, or provider if the physician, practitioner, facility, or provider </w:t>
            </w:r>
            <w:r>
              <w:t>for a violation</w:t>
            </w:r>
            <w:r w:rsidRPr="008751BE">
              <w:t xml:space="preserve"> </w:t>
            </w:r>
            <w:r>
              <w:t>of the prohibition against balance billing. The substitute includes a provision removing the requirement that the chief a</w:t>
            </w:r>
            <w:r>
              <w:t xml:space="preserve">dministrative law judge adopt rules as necessary to implement the judge's powers and duties under provisions relating to out-of-network claim dispute resolution. </w:t>
            </w:r>
          </w:p>
          <w:p w:rsidR="00DB1A3E" w:rsidRDefault="000F72E1" w:rsidP="00DB1A3E">
            <w:pPr>
              <w:jc w:val="both"/>
            </w:pPr>
          </w:p>
          <w:p w:rsidR="00DB1A3E" w:rsidRDefault="000F72E1" w:rsidP="00DB1A3E">
            <w:pPr>
              <w:jc w:val="both"/>
            </w:pPr>
            <w:r>
              <w:t>The substitute does not include provisions revising the existing statutory mandatory mediati</w:t>
            </w:r>
            <w:r>
              <w:t>on provisions as mandatory binding arbitration provisions but the substitute includes similar provisions that are applicable instead to the establishment and administration of processes regarding:</w:t>
            </w:r>
          </w:p>
          <w:p w:rsidR="00DB1A3E" w:rsidRDefault="000F72E1" w:rsidP="00DB1A3E">
            <w:pPr>
              <w:pStyle w:val="ListParagraph"/>
              <w:numPr>
                <w:ilvl w:val="0"/>
                <w:numId w:val="15"/>
              </w:numPr>
              <w:spacing w:before="120" w:after="120"/>
              <w:jc w:val="both"/>
            </w:pPr>
            <w:r>
              <w:t>health benefit claims submitted to mandatory mediation that</w:t>
            </w:r>
            <w:r>
              <w:t xml:space="preserve"> that are exclusive to an out</w:t>
            </w:r>
            <w:r>
              <w:noBreakHyphen/>
              <w:t xml:space="preserve">of-network provider that is an applicable facility; and </w:t>
            </w:r>
          </w:p>
          <w:p w:rsidR="00DB1A3E" w:rsidRDefault="000F72E1" w:rsidP="00DB1A3E">
            <w:pPr>
              <w:pStyle w:val="ListParagraph"/>
              <w:numPr>
                <w:ilvl w:val="0"/>
                <w:numId w:val="15"/>
              </w:numPr>
              <w:spacing w:before="120" w:after="120"/>
              <w:jc w:val="both"/>
            </w:pPr>
            <w:r>
              <w:t xml:space="preserve">health benefit claims submitted to mandatory binding arbitration that are exclusive to an out-of-network provider that is not an applicable facility. </w:t>
            </w:r>
          </w:p>
          <w:p w:rsidR="00DB1A3E" w:rsidRDefault="000F72E1" w:rsidP="00DB1A3E">
            <w:pPr>
              <w:spacing w:before="120" w:after="120"/>
              <w:jc w:val="both"/>
            </w:pPr>
          </w:p>
          <w:p w:rsidR="00DB1A3E" w:rsidRDefault="000F72E1" w:rsidP="00DB1A3E">
            <w:pPr>
              <w:jc w:val="both"/>
            </w:pPr>
            <w:r>
              <w:t>The substitute do</w:t>
            </w:r>
            <w:r>
              <w:t xml:space="preserve">es not repeal certain provisions regarding mediation, with respect to mediator qualifications, the appointment of a mediator and certain related fees, request and preliminary procedures for mandatory mediation, the conduct of mediation and confidentiality </w:t>
            </w:r>
            <w:r>
              <w:t>of communications, certain matters considered in mediation and related agreed resolutions, and a certain report of a mediator. The substitute instead revises and applicably repeals certain of those statutory provisions to reflect the mediation provisions i</w:t>
            </w:r>
            <w:r>
              <w:t xml:space="preserve">ncluded in the substitute that are applicable to an out-of-network provider that is an applicable facility. </w:t>
            </w:r>
          </w:p>
          <w:p w:rsidR="00DB1A3E" w:rsidRDefault="000F72E1" w:rsidP="00DB1A3E">
            <w:pPr>
              <w:jc w:val="both"/>
            </w:pPr>
          </w:p>
          <w:p w:rsidR="00DB1A3E" w:rsidRDefault="000F72E1" w:rsidP="00DB1A3E">
            <w:pPr>
              <w:jc w:val="both"/>
            </w:pPr>
            <w:r>
              <w:t>The substitute includes provisions, with respect to an out-of-network provider that is an applicable facility:</w:t>
            </w:r>
          </w:p>
          <w:p w:rsidR="00DB1A3E" w:rsidRDefault="000F72E1" w:rsidP="00DB1A3E">
            <w:pPr>
              <w:pStyle w:val="ListParagraph"/>
              <w:numPr>
                <w:ilvl w:val="0"/>
                <w:numId w:val="16"/>
              </w:numPr>
              <w:spacing w:before="120" w:after="120"/>
              <w:contextualSpacing w:val="0"/>
              <w:jc w:val="both"/>
            </w:pPr>
            <w:r>
              <w:t xml:space="preserve">establishing that an </w:t>
            </w:r>
            <w:r w:rsidRPr="00956DC4">
              <w:t>out-of-network</w:t>
            </w:r>
            <w:r w:rsidRPr="00956DC4">
              <w:t xml:space="preserve"> provider has a right to a reasonable payment from an enrollee's health benefit plan for covered services and supplies provided to the enrollee and for which the provide</w:t>
            </w:r>
            <w:r>
              <w:t xml:space="preserve">r has not been fully reimbursed; </w:t>
            </w:r>
          </w:p>
          <w:p w:rsidR="00DB1A3E" w:rsidRDefault="000F72E1" w:rsidP="00DB1A3E">
            <w:pPr>
              <w:pStyle w:val="ListParagraph"/>
              <w:numPr>
                <w:ilvl w:val="0"/>
                <w:numId w:val="16"/>
              </w:numPr>
              <w:spacing w:before="120" w:after="120"/>
              <w:contextualSpacing w:val="0"/>
              <w:jc w:val="both"/>
            </w:pPr>
            <w:r>
              <w:t>authorizing either party to a mediation for which the</w:t>
            </w:r>
            <w:r>
              <w:t xml:space="preserve">re is no agreement, not later than the 45th day after the date the mediator's report concerning the mediation is provided to TDI, to </w:t>
            </w:r>
            <w:r w:rsidRPr="00956DC4">
              <w:t>file a civil action to determine the amount due to an out-of-network provider</w:t>
            </w:r>
            <w:r>
              <w:t xml:space="preserve">; and </w:t>
            </w:r>
          </w:p>
          <w:p w:rsidR="00DB1A3E" w:rsidRDefault="000F72E1" w:rsidP="00DB1A3E">
            <w:pPr>
              <w:pStyle w:val="ListParagraph"/>
              <w:numPr>
                <w:ilvl w:val="0"/>
                <w:numId w:val="16"/>
              </w:numPr>
              <w:spacing w:before="120" w:after="120"/>
              <w:contextualSpacing w:val="0"/>
              <w:jc w:val="both"/>
            </w:pPr>
            <w:r>
              <w:t>prohibiting a party from bringing a civ</w:t>
            </w:r>
            <w:r>
              <w:t xml:space="preserve">il action </w:t>
            </w:r>
            <w:r w:rsidRPr="004344EC">
              <w:t>before the conclusion of the mediation process</w:t>
            </w:r>
            <w:r>
              <w:t>.</w:t>
            </w:r>
          </w:p>
          <w:p w:rsidR="00DB1A3E" w:rsidRDefault="000F72E1" w:rsidP="00DB1A3E">
            <w:pPr>
              <w:jc w:val="both"/>
            </w:pPr>
          </w:p>
          <w:p w:rsidR="00DB1A3E" w:rsidRDefault="000F72E1" w:rsidP="00DB1A3E">
            <w:pPr>
              <w:jc w:val="both"/>
            </w:pPr>
            <w:r>
              <w:t xml:space="preserve">The substitute revises provisions relating to bad faith participation. </w:t>
            </w:r>
          </w:p>
          <w:p w:rsidR="00DB1A3E" w:rsidRDefault="000F72E1" w:rsidP="00DB1A3E">
            <w:pPr>
              <w:jc w:val="both"/>
            </w:pPr>
          </w:p>
          <w:p w:rsidR="00DB1A3E" w:rsidRDefault="000F72E1" w:rsidP="00DB1A3E">
            <w:pPr>
              <w:jc w:val="both"/>
            </w:pPr>
            <w:r>
              <w:t>The substitute revises provisions relating to the balance billing prohibition report TDI</w:t>
            </w:r>
            <w:r>
              <w:t xml:space="preserve"> is required to submit to the legislature concerning a study on the impacts of the bill's provisions.</w:t>
            </w:r>
          </w:p>
          <w:p w:rsidR="00DB1A3E" w:rsidRPr="00BB70B5" w:rsidRDefault="000F72E1" w:rsidP="00DB1A3E">
            <w:pPr>
              <w:jc w:val="both"/>
              <w:rPr>
                <w:b/>
                <w:u w:val="single"/>
              </w:rPr>
            </w:pPr>
          </w:p>
        </w:tc>
      </w:tr>
    </w:tbl>
    <w:p w:rsidR="004108C3" w:rsidRPr="008423E4" w:rsidRDefault="000F72E1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F72E1">
      <w:r>
        <w:separator/>
      </w:r>
    </w:p>
  </w:endnote>
  <w:endnote w:type="continuationSeparator" w:id="0">
    <w:p w:rsidR="00000000" w:rsidRDefault="000F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1B9" w:rsidRDefault="000F72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90551" w:rsidTr="009C1E9A">
      <w:trPr>
        <w:cantSplit/>
      </w:trPr>
      <w:tc>
        <w:tcPr>
          <w:tcW w:w="0" w:type="pct"/>
        </w:tcPr>
        <w:p w:rsidR="00F921B9" w:rsidRDefault="000F72E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F921B9" w:rsidRDefault="000F72E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F921B9" w:rsidRDefault="000F72E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F921B9" w:rsidRDefault="000F72E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F921B9" w:rsidRDefault="000F72E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90551" w:rsidTr="009C1E9A">
      <w:trPr>
        <w:cantSplit/>
      </w:trPr>
      <w:tc>
        <w:tcPr>
          <w:tcW w:w="0" w:type="pct"/>
        </w:tcPr>
        <w:p w:rsidR="00F921B9" w:rsidRDefault="000F72E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F921B9" w:rsidRPr="009C1E9A" w:rsidRDefault="000F72E1" w:rsidP="00386572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34735</w:t>
          </w:r>
        </w:p>
      </w:tc>
      <w:tc>
        <w:tcPr>
          <w:tcW w:w="2453" w:type="pct"/>
        </w:tcPr>
        <w:p w:rsidR="00F921B9" w:rsidRDefault="000F72E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19.136.811</w:t>
          </w:r>
          <w:r>
            <w:fldChar w:fldCharType="end"/>
          </w:r>
        </w:p>
      </w:tc>
    </w:tr>
    <w:tr w:rsidR="00A90551" w:rsidTr="009C1E9A">
      <w:trPr>
        <w:cantSplit/>
      </w:trPr>
      <w:tc>
        <w:tcPr>
          <w:tcW w:w="0" w:type="pct"/>
        </w:tcPr>
        <w:p w:rsidR="00F921B9" w:rsidRDefault="000F72E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F921B9" w:rsidRPr="009C1E9A" w:rsidRDefault="000F72E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</w:t>
          </w:r>
          <w:r>
            <w:rPr>
              <w:rFonts w:ascii="Shruti" w:hAnsi="Shruti"/>
              <w:sz w:val="22"/>
            </w:rPr>
            <w:t xml:space="preserve"> Document Number: 86R 31987</w:t>
          </w:r>
        </w:p>
      </w:tc>
      <w:tc>
        <w:tcPr>
          <w:tcW w:w="2453" w:type="pct"/>
        </w:tcPr>
        <w:p w:rsidR="00F921B9" w:rsidRDefault="000F72E1" w:rsidP="006D504F">
          <w:pPr>
            <w:pStyle w:val="Footer"/>
            <w:rPr>
              <w:rStyle w:val="PageNumber"/>
            </w:rPr>
          </w:pPr>
        </w:p>
        <w:p w:rsidR="00F921B9" w:rsidRDefault="000F72E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90551" w:rsidTr="009C1E9A">
      <w:trPr>
        <w:cantSplit/>
        <w:trHeight w:val="323"/>
      </w:trPr>
      <w:tc>
        <w:tcPr>
          <w:tcW w:w="0" w:type="pct"/>
          <w:gridSpan w:val="3"/>
        </w:tcPr>
        <w:p w:rsidR="00F921B9" w:rsidRDefault="000F72E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7</w:t>
          </w:r>
          <w:r>
            <w:rPr>
              <w:rStyle w:val="PageNumber"/>
            </w:rPr>
            <w:fldChar w:fldCharType="end"/>
          </w:r>
        </w:p>
        <w:p w:rsidR="00F921B9" w:rsidRDefault="000F72E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F921B9" w:rsidRPr="00FF6F72" w:rsidRDefault="000F72E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1B9" w:rsidRDefault="000F72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F72E1">
      <w:r>
        <w:separator/>
      </w:r>
    </w:p>
  </w:footnote>
  <w:footnote w:type="continuationSeparator" w:id="0">
    <w:p w:rsidR="00000000" w:rsidRDefault="000F7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1B9" w:rsidRDefault="000F72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1B9" w:rsidRDefault="000F72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1B9" w:rsidRDefault="000F72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615F"/>
    <w:multiLevelType w:val="hybridMultilevel"/>
    <w:tmpl w:val="9D32EEA6"/>
    <w:lvl w:ilvl="0" w:tplc="8EEC81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3673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820E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C0DE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4C04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869E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B801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0AB5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CEED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35BA2"/>
    <w:multiLevelType w:val="hybridMultilevel"/>
    <w:tmpl w:val="2F1A4030"/>
    <w:lvl w:ilvl="0" w:tplc="2826B4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8AC6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54CB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44F9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701B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6660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6497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1CD3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2459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50705"/>
    <w:multiLevelType w:val="hybridMultilevel"/>
    <w:tmpl w:val="D4FED236"/>
    <w:lvl w:ilvl="0" w:tplc="03B69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84B8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12CC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C601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77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8C90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6DD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F4A5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EA50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821DD"/>
    <w:multiLevelType w:val="hybridMultilevel"/>
    <w:tmpl w:val="AF305BC2"/>
    <w:lvl w:ilvl="0" w:tplc="7ABE40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70EC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A08B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463A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20B2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AE5D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D8C6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369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32B6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C32E2"/>
    <w:multiLevelType w:val="hybridMultilevel"/>
    <w:tmpl w:val="9E686492"/>
    <w:lvl w:ilvl="0" w:tplc="6B3A10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F2A4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247A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3A26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7A68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C246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6065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3A07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CE93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8655D"/>
    <w:multiLevelType w:val="hybridMultilevel"/>
    <w:tmpl w:val="E376B42A"/>
    <w:lvl w:ilvl="0" w:tplc="6AC22C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3AEA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4A4E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8EDA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46EC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B6C8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FEC4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0271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CC3B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A7676"/>
    <w:multiLevelType w:val="hybridMultilevel"/>
    <w:tmpl w:val="ED22DFA8"/>
    <w:lvl w:ilvl="0" w:tplc="EA648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AA07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3A0A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DC5C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94B1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1C89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8A97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2C21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0BD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01B08"/>
    <w:multiLevelType w:val="hybridMultilevel"/>
    <w:tmpl w:val="CCC65A76"/>
    <w:lvl w:ilvl="0" w:tplc="2206B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0ED9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B844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88F8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2A97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3C0F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8AF8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CAD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D2FF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A5A9A"/>
    <w:multiLevelType w:val="hybridMultilevel"/>
    <w:tmpl w:val="39FE1300"/>
    <w:lvl w:ilvl="0" w:tplc="F8A0DD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20B5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006D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D8B7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8C47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4ACE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560E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F436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C693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643D7"/>
    <w:multiLevelType w:val="hybridMultilevel"/>
    <w:tmpl w:val="B3C28814"/>
    <w:lvl w:ilvl="0" w:tplc="42E481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CAA9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9EF8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70ED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56DD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7C27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98CC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3642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7404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631DB"/>
    <w:multiLevelType w:val="hybridMultilevel"/>
    <w:tmpl w:val="C786E398"/>
    <w:lvl w:ilvl="0" w:tplc="9746DE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FAC1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246E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98A8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3688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1877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1C8B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701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C0A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A2E20"/>
    <w:multiLevelType w:val="hybridMultilevel"/>
    <w:tmpl w:val="6A221F2A"/>
    <w:lvl w:ilvl="0" w:tplc="06180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1A98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DEAA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D4A8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EA45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9840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3CB2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1245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6A9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4651E"/>
    <w:multiLevelType w:val="hybridMultilevel"/>
    <w:tmpl w:val="E872E2A6"/>
    <w:lvl w:ilvl="0" w:tplc="780842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DA36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A4C1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0BE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92CF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3408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D6D6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9275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1668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47055"/>
    <w:multiLevelType w:val="hybridMultilevel"/>
    <w:tmpl w:val="62C82A1E"/>
    <w:lvl w:ilvl="0" w:tplc="C53ABE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1AA2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2C22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DED4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125B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0063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7EE0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7838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7899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679B0"/>
    <w:multiLevelType w:val="hybridMultilevel"/>
    <w:tmpl w:val="5A5AC36A"/>
    <w:lvl w:ilvl="0" w:tplc="60A63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44F7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7C87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585C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004D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1EC4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3A9C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9A04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1493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E69D4"/>
    <w:multiLevelType w:val="hybridMultilevel"/>
    <w:tmpl w:val="559E1CF0"/>
    <w:lvl w:ilvl="0" w:tplc="35FEE086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54ED3BC" w:tentative="1">
      <w:start w:val="1"/>
      <w:numFmt w:val="lowerLetter"/>
      <w:lvlText w:val="%2."/>
      <w:lvlJc w:val="left"/>
      <w:pPr>
        <w:ind w:left="1440" w:hanging="360"/>
      </w:pPr>
    </w:lvl>
    <w:lvl w:ilvl="2" w:tplc="5F3AAD74" w:tentative="1">
      <w:start w:val="1"/>
      <w:numFmt w:val="lowerRoman"/>
      <w:lvlText w:val="%3."/>
      <w:lvlJc w:val="right"/>
      <w:pPr>
        <w:ind w:left="2160" w:hanging="180"/>
      </w:pPr>
    </w:lvl>
    <w:lvl w:ilvl="3" w:tplc="AD0C3172" w:tentative="1">
      <w:start w:val="1"/>
      <w:numFmt w:val="decimal"/>
      <w:lvlText w:val="%4."/>
      <w:lvlJc w:val="left"/>
      <w:pPr>
        <w:ind w:left="2880" w:hanging="360"/>
      </w:pPr>
    </w:lvl>
    <w:lvl w:ilvl="4" w:tplc="39D86AD6" w:tentative="1">
      <w:start w:val="1"/>
      <w:numFmt w:val="lowerLetter"/>
      <w:lvlText w:val="%5."/>
      <w:lvlJc w:val="left"/>
      <w:pPr>
        <w:ind w:left="3600" w:hanging="360"/>
      </w:pPr>
    </w:lvl>
    <w:lvl w:ilvl="5" w:tplc="04CC6C0C" w:tentative="1">
      <w:start w:val="1"/>
      <w:numFmt w:val="lowerRoman"/>
      <w:lvlText w:val="%6."/>
      <w:lvlJc w:val="right"/>
      <w:pPr>
        <w:ind w:left="4320" w:hanging="180"/>
      </w:pPr>
    </w:lvl>
    <w:lvl w:ilvl="6" w:tplc="85800B8E" w:tentative="1">
      <w:start w:val="1"/>
      <w:numFmt w:val="decimal"/>
      <w:lvlText w:val="%7."/>
      <w:lvlJc w:val="left"/>
      <w:pPr>
        <w:ind w:left="5040" w:hanging="360"/>
      </w:pPr>
    </w:lvl>
    <w:lvl w:ilvl="7" w:tplc="B992C652" w:tentative="1">
      <w:start w:val="1"/>
      <w:numFmt w:val="lowerLetter"/>
      <w:lvlText w:val="%8."/>
      <w:lvlJc w:val="left"/>
      <w:pPr>
        <w:ind w:left="5760" w:hanging="360"/>
      </w:pPr>
    </w:lvl>
    <w:lvl w:ilvl="8" w:tplc="E564DC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50D8A"/>
    <w:multiLevelType w:val="hybridMultilevel"/>
    <w:tmpl w:val="3B34C84E"/>
    <w:lvl w:ilvl="0" w:tplc="22DE2978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39D2BA08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582044E8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7409A62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28B06546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C1F6746C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B21664C6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7CB25C40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6B02937E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12"/>
  </w:num>
  <w:num w:numId="5">
    <w:abstractNumId w:val="5"/>
  </w:num>
  <w:num w:numId="6">
    <w:abstractNumId w:val="14"/>
  </w:num>
  <w:num w:numId="7">
    <w:abstractNumId w:val="11"/>
  </w:num>
  <w:num w:numId="8">
    <w:abstractNumId w:val="1"/>
  </w:num>
  <w:num w:numId="9">
    <w:abstractNumId w:val="10"/>
  </w:num>
  <w:num w:numId="10">
    <w:abstractNumId w:val="8"/>
  </w:num>
  <w:num w:numId="11">
    <w:abstractNumId w:val="3"/>
  </w:num>
  <w:num w:numId="12">
    <w:abstractNumId w:val="4"/>
  </w:num>
  <w:num w:numId="13">
    <w:abstractNumId w:val="0"/>
  </w:num>
  <w:num w:numId="14">
    <w:abstractNumId w:val="2"/>
  </w:num>
  <w:num w:numId="15">
    <w:abstractNumId w:val="7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51"/>
    <w:rsid w:val="000F72E1"/>
    <w:rsid w:val="00A9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F133BD-3856-4CD1-A89F-3CC4A253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877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877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776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7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7761"/>
    <w:rPr>
      <w:b/>
      <w:bCs/>
    </w:rPr>
  </w:style>
  <w:style w:type="paragraph" w:styleId="ListParagraph">
    <w:name w:val="List Paragraph"/>
    <w:basedOn w:val="Normal"/>
    <w:uiPriority w:val="34"/>
    <w:qFormat/>
    <w:rsid w:val="006D4F76"/>
    <w:pPr>
      <w:ind w:left="720"/>
      <w:contextualSpacing/>
    </w:pPr>
  </w:style>
  <w:style w:type="paragraph" w:customStyle="1" w:styleId="left">
    <w:name w:val="left"/>
    <w:basedOn w:val="Normal"/>
    <w:rsid w:val="004C0EC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C0ECE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D45C0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65D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3917</Words>
  <Characters>21986</Characters>
  <Application>Microsoft Office Word</Application>
  <DocSecurity>4</DocSecurity>
  <Lines>364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SB01264 (Committee Report (Substituted))</vt:lpstr>
    </vt:vector>
  </TitlesOfParts>
  <Company>State of Texas</Company>
  <LinksUpToDate>false</LinksUpToDate>
  <CharactersWithSpaces>25889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34735</dc:subject>
  <dc:creator>State of Texas</dc:creator>
  <dc:description>SB 1264 by Hancock-(H)Insurance (Substitute Document Number: 86R 31987)</dc:description>
  <cp:lastModifiedBy>Damian Duarte</cp:lastModifiedBy>
  <cp:revision>2</cp:revision>
  <cp:lastPrinted>2019-05-08T12:20:00Z</cp:lastPrinted>
  <dcterms:created xsi:type="dcterms:W3CDTF">2019-05-16T20:41:00Z</dcterms:created>
  <dcterms:modified xsi:type="dcterms:W3CDTF">2019-05-16T20:41:00Z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19.136.811</vt:lpwstr>
  </property>
</Properties>
</file>