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B40F2" w:rsidTr="00345119">
        <w:tc>
          <w:tcPr>
            <w:tcW w:w="9576" w:type="dxa"/>
            <w:noWrap/>
          </w:tcPr>
          <w:p w:rsidR="008423E4" w:rsidRPr="0022177D" w:rsidRDefault="00CE1BF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E1BF0" w:rsidP="008423E4">
      <w:pPr>
        <w:jc w:val="center"/>
      </w:pPr>
    </w:p>
    <w:p w:rsidR="008423E4" w:rsidRPr="00B31F0E" w:rsidRDefault="00CE1BF0" w:rsidP="008423E4"/>
    <w:p w:rsidR="008423E4" w:rsidRPr="00742794" w:rsidRDefault="00CE1BF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B40F2" w:rsidTr="00345119">
        <w:tc>
          <w:tcPr>
            <w:tcW w:w="9576" w:type="dxa"/>
          </w:tcPr>
          <w:p w:rsidR="008423E4" w:rsidRPr="00861995" w:rsidRDefault="00CE1BF0" w:rsidP="00345119">
            <w:pPr>
              <w:jc w:val="right"/>
            </w:pPr>
            <w:r>
              <w:t>S.B. 1268</w:t>
            </w:r>
          </w:p>
        </w:tc>
      </w:tr>
      <w:tr w:rsidR="00BB40F2" w:rsidTr="00345119">
        <w:tc>
          <w:tcPr>
            <w:tcW w:w="9576" w:type="dxa"/>
          </w:tcPr>
          <w:p w:rsidR="008423E4" w:rsidRPr="00861995" w:rsidRDefault="00CE1BF0" w:rsidP="00657E13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BB40F2" w:rsidTr="00345119">
        <w:tc>
          <w:tcPr>
            <w:tcW w:w="9576" w:type="dxa"/>
          </w:tcPr>
          <w:p w:rsidR="008423E4" w:rsidRPr="00861995" w:rsidRDefault="00CE1BF0" w:rsidP="00345119">
            <w:pPr>
              <w:jc w:val="right"/>
            </w:pPr>
            <w:r>
              <w:t>Criminal Jurisprudence</w:t>
            </w:r>
          </w:p>
        </w:tc>
      </w:tr>
      <w:tr w:rsidR="00BB40F2" w:rsidTr="00345119">
        <w:tc>
          <w:tcPr>
            <w:tcW w:w="9576" w:type="dxa"/>
          </w:tcPr>
          <w:p w:rsidR="008423E4" w:rsidRDefault="00CE1BF0" w:rsidP="00657E13">
            <w:pPr>
              <w:jc w:val="right"/>
            </w:pPr>
            <w:r>
              <w:t>Committee Report (Unamended)</w:t>
            </w:r>
          </w:p>
        </w:tc>
      </w:tr>
    </w:tbl>
    <w:p w:rsidR="008423E4" w:rsidRDefault="00CE1BF0" w:rsidP="008423E4">
      <w:pPr>
        <w:tabs>
          <w:tab w:val="right" w:pos="9360"/>
        </w:tabs>
      </w:pPr>
    </w:p>
    <w:p w:rsidR="008423E4" w:rsidRDefault="00CE1BF0" w:rsidP="008423E4"/>
    <w:p w:rsidR="008423E4" w:rsidRDefault="00CE1BF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B40F2" w:rsidTr="00345119">
        <w:tc>
          <w:tcPr>
            <w:tcW w:w="9576" w:type="dxa"/>
          </w:tcPr>
          <w:p w:rsidR="008423E4" w:rsidRPr="00A8133F" w:rsidRDefault="00CE1BF0" w:rsidP="00057F7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E1BF0" w:rsidP="00057F74"/>
          <w:p w:rsidR="008423E4" w:rsidRDefault="00CE1BF0" w:rsidP="00057F74">
            <w:pPr>
              <w:pStyle w:val="Header"/>
              <w:jc w:val="both"/>
            </w:pPr>
            <w:r>
              <w:t xml:space="preserve">There have been reports that some Texas courts have </w:t>
            </w:r>
            <w:r>
              <w:t xml:space="preserve">interpreted </w:t>
            </w:r>
            <w:r>
              <w:t>state law</w:t>
            </w:r>
            <w:r>
              <w:t xml:space="preserve"> as permitting</w:t>
            </w:r>
            <w:r>
              <w:t xml:space="preserve"> only one </w:t>
            </w:r>
            <w:r w:rsidRPr="00544DAD">
              <w:t>victim impact</w:t>
            </w:r>
            <w:r>
              <w:t xml:space="preserve"> statement</w:t>
            </w:r>
            <w:r>
              <w:t xml:space="preserve"> from a </w:t>
            </w:r>
            <w:r w:rsidRPr="00544DAD">
              <w:t>victim, close relative of a deceased victim, or guardian of a victim</w:t>
            </w:r>
            <w:r>
              <w:t>, even</w:t>
            </w:r>
            <w:r>
              <w:t xml:space="preserve"> in</w:t>
            </w:r>
            <w:r>
              <w:t xml:space="preserve"> </w:t>
            </w:r>
            <w:r>
              <w:t xml:space="preserve">cases involving multiple parties who might otherwise be eligible to provide </w:t>
            </w:r>
            <w:r>
              <w:t xml:space="preserve">such </w:t>
            </w:r>
            <w:r>
              <w:t xml:space="preserve">a statement. S.B. 1268 seeks to prevent </w:t>
            </w:r>
            <w:r>
              <w:t xml:space="preserve">such an interpretation by prohibiting </w:t>
            </w:r>
            <w:r>
              <w:t>a court from limiti</w:t>
            </w:r>
            <w:r>
              <w:t>ng the number of victim impact statements</w:t>
            </w:r>
            <w:r>
              <w:t xml:space="preserve"> that may be presented in a criminal case</w:t>
            </w:r>
            <w:r>
              <w:t xml:space="preserve"> unless the court finds that additional statements would unreasonably delay the proceeding.</w:t>
            </w:r>
          </w:p>
          <w:p w:rsidR="008423E4" w:rsidRPr="00E26B13" w:rsidRDefault="00CE1BF0" w:rsidP="00057F74">
            <w:pPr>
              <w:rPr>
                <w:b/>
              </w:rPr>
            </w:pPr>
          </w:p>
        </w:tc>
      </w:tr>
      <w:tr w:rsidR="00BB40F2" w:rsidTr="00345119">
        <w:tc>
          <w:tcPr>
            <w:tcW w:w="9576" w:type="dxa"/>
          </w:tcPr>
          <w:p w:rsidR="0017725B" w:rsidRDefault="00CE1BF0" w:rsidP="00057F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E1BF0" w:rsidP="00057F74">
            <w:pPr>
              <w:rPr>
                <w:b/>
                <w:u w:val="single"/>
              </w:rPr>
            </w:pPr>
          </w:p>
          <w:p w:rsidR="005B0186" w:rsidRPr="005B0186" w:rsidRDefault="00CE1BF0" w:rsidP="00057F74">
            <w:pPr>
              <w:jc w:val="both"/>
            </w:pPr>
            <w:r>
              <w:t>It is the committee's opinion that this bill does not e</w:t>
            </w:r>
            <w:r>
              <w:t>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E1BF0" w:rsidP="00057F74">
            <w:pPr>
              <w:rPr>
                <w:b/>
                <w:u w:val="single"/>
              </w:rPr>
            </w:pPr>
          </w:p>
        </w:tc>
      </w:tr>
      <w:tr w:rsidR="00BB40F2" w:rsidTr="00345119">
        <w:tc>
          <w:tcPr>
            <w:tcW w:w="9576" w:type="dxa"/>
          </w:tcPr>
          <w:p w:rsidR="008423E4" w:rsidRPr="00A8133F" w:rsidRDefault="00CE1BF0" w:rsidP="00057F7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E1BF0" w:rsidP="00057F74"/>
          <w:p w:rsidR="005B0186" w:rsidRDefault="00CE1BF0" w:rsidP="00057F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CE1BF0" w:rsidP="00057F74">
            <w:pPr>
              <w:rPr>
                <w:b/>
              </w:rPr>
            </w:pPr>
          </w:p>
        </w:tc>
      </w:tr>
      <w:tr w:rsidR="00BB40F2" w:rsidTr="00345119">
        <w:tc>
          <w:tcPr>
            <w:tcW w:w="9576" w:type="dxa"/>
          </w:tcPr>
          <w:p w:rsidR="008423E4" w:rsidRPr="00A8133F" w:rsidRDefault="00CE1BF0" w:rsidP="00057F7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E1BF0" w:rsidP="00057F74"/>
          <w:p w:rsidR="008423E4" w:rsidRDefault="00CE1BF0" w:rsidP="00057F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90E11">
              <w:t>S.B. 1268</w:t>
            </w:r>
            <w:r>
              <w:t xml:space="preserve"> amends the Code of Criminal Procedure to prohibit </w:t>
            </w:r>
            <w:r>
              <w:t xml:space="preserve">a </w:t>
            </w:r>
            <w:r>
              <w:t>court from imposing a limit o</w:t>
            </w:r>
            <w:r>
              <w:t xml:space="preserve">n </w:t>
            </w:r>
            <w:r w:rsidRPr="005B0186">
              <w:t>the number of victims, close relatives, or guardians who may appear and present</w:t>
            </w:r>
            <w:r>
              <w:t xml:space="preserve"> to the court, after the sentence for the defendant is pronounced,</w:t>
            </w:r>
            <w:r w:rsidRPr="005B0186">
              <w:t xml:space="preserve"> </w:t>
            </w:r>
            <w:r>
              <w:t>statements</w:t>
            </w:r>
            <w:r w:rsidRPr="005B0186">
              <w:t xml:space="preserve"> about </w:t>
            </w:r>
            <w:r>
              <w:t>the</w:t>
            </w:r>
            <w:r w:rsidRPr="005B0186">
              <w:t xml:space="preserve"> </w:t>
            </w:r>
            <w:r w:rsidRPr="005B0186">
              <w:t>offense, the defendant, and the effect of the offense on the victim</w:t>
            </w:r>
            <w:r>
              <w:t>,</w:t>
            </w:r>
            <w:r>
              <w:t xml:space="preserve"> </w:t>
            </w:r>
            <w:r w:rsidRPr="005B0186">
              <w:t>unless the court f</w:t>
            </w:r>
            <w:r w:rsidRPr="005B0186">
              <w:t>inds that additional statements would unreasonably delay the proceeding.</w:t>
            </w:r>
          </w:p>
          <w:p w:rsidR="008423E4" w:rsidRPr="00835628" w:rsidRDefault="00CE1BF0" w:rsidP="00057F74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BB40F2" w:rsidTr="00345119">
        <w:tc>
          <w:tcPr>
            <w:tcW w:w="9576" w:type="dxa"/>
          </w:tcPr>
          <w:p w:rsidR="008423E4" w:rsidRPr="00A8133F" w:rsidRDefault="00CE1BF0" w:rsidP="00057F7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E1BF0" w:rsidP="00057F74"/>
          <w:p w:rsidR="008423E4" w:rsidRPr="003624F2" w:rsidRDefault="00CE1BF0" w:rsidP="00057F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E1BF0" w:rsidP="00057F74">
            <w:pPr>
              <w:rPr>
                <w:b/>
              </w:rPr>
            </w:pPr>
          </w:p>
        </w:tc>
      </w:tr>
    </w:tbl>
    <w:p w:rsidR="008423E4" w:rsidRPr="00BE0E75" w:rsidRDefault="00CE1BF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E1BF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1BF0">
      <w:r>
        <w:separator/>
      </w:r>
    </w:p>
  </w:endnote>
  <w:endnote w:type="continuationSeparator" w:id="0">
    <w:p w:rsidR="00000000" w:rsidRDefault="00CE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1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B40F2" w:rsidTr="009C1E9A">
      <w:trPr>
        <w:cantSplit/>
      </w:trPr>
      <w:tc>
        <w:tcPr>
          <w:tcW w:w="0" w:type="pct"/>
        </w:tcPr>
        <w:p w:rsidR="00137D90" w:rsidRDefault="00CE1B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E1BF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E1BF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E1B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E1B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40F2" w:rsidTr="009C1E9A">
      <w:trPr>
        <w:cantSplit/>
      </w:trPr>
      <w:tc>
        <w:tcPr>
          <w:tcW w:w="0" w:type="pct"/>
        </w:tcPr>
        <w:p w:rsidR="00EC379B" w:rsidRDefault="00CE1B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E1BF0" w:rsidP="00657E13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32393</w:t>
          </w:r>
        </w:p>
      </w:tc>
      <w:tc>
        <w:tcPr>
          <w:tcW w:w="2453" w:type="pct"/>
        </w:tcPr>
        <w:p w:rsidR="00EC379B" w:rsidRDefault="00CE1B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19.127.564</w:t>
          </w:r>
          <w:r>
            <w:fldChar w:fldCharType="end"/>
          </w:r>
        </w:p>
      </w:tc>
    </w:tr>
    <w:tr w:rsidR="00BB40F2" w:rsidTr="009C1E9A">
      <w:trPr>
        <w:cantSplit/>
      </w:trPr>
      <w:tc>
        <w:tcPr>
          <w:tcW w:w="0" w:type="pct"/>
        </w:tcPr>
        <w:p w:rsidR="00EC379B" w:rsidRDefault="00CE1B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E1B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E1BF0" w:rsidP="006D504F">
          <w:pPr>
            <w:pStyle w:val="Footer"/>
            <w:rPr>
              <w:rStyle w:val="PageNumber"/>
            </w:rPr>
          </w:pPr>
        </w:p>
        <w:p w:rsidR="00EC379B" w:rsidRDefault="00CE1B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40F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E1BF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E1BF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E1BF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1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1BF0">
      <w:r>
        <w:separator/>
      </w:r>
    </w:p>
  </w:footnote>
  <w:footnote w:type="continuationSeparator" w:id="0">
    <w:p w:rsidR="00000000" w:rsidRDefault="00CE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1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1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1B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F2"/>
    <w:rsid w:val="00BB40F2"/>
    <w:rsid w:val="00C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6743FF-545F-4543-8292-CCE53DFD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B01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01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018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0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0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1363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SB01268 (Committee Report (Unamended))</vt:lpstr>
    </vt:vector>
  </TitlesOfParts>
  <Company>State of Texas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32393</dc:subject>
  <dc:creator>State of Texas</dc:creator>
  <dc:description>SB 1268 by Watson-(H)Criminal Jurisprudence</dc:description>
  <cp:lastModifiedBy>Scotty Wimberley</cp:lastModifiedBy>
  <cp:revision>2</cp:revision>
  <cp:lastPrinted>2003-11-26T17:21:00Z</cp:lastPrinted>
  <dcterms:created xsi:type="dcterms:W3CDTF">2019-05-10T19:45:00Z</dcterms:created>
  <dcterms:modified xsi:type="dcterms:W3CDTF">2019-05-10T19:45:00Z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19.127.564</vt:lpwstr>
  </property>
</Properties>
</file>