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4B6A" w:rsidTr="00345119">
        <w:tc>
          <w:tcPr>
            <w:tcW w:w="9576" w:type="dxa"/>
            <w:noWrap/>
          </w:tcPr>
          <w:p w:rsidR="008423E4" w:rsidRPr="0022177D" w:rsidRDefault="006D3D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3DAE" w:rsidP="008423E4">
      <w:pPr>
        <w:jc w:val="center"/>
      </w:pPr>
    </w:p>
    <w:p w:rsidR="008423E4" w:rsidRPr="00B31F0E" w:rsidRDefault="006D3DAE" w:rsidP="008423E4"/>
    <w:p w:rsidR="008423E4" w:rsidRPr="00742794" w:rsidRDefault="006D3D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4B6A" w:rsidTr="00345119">
        <w:tc>
          <w:tcPr>
            <w:tcW w:w="9576" w:type="dxa"/>
          </w:tcPr>
          <w:p w:rsidR="008423E4" w:rsidRPr="00861995" w:rsidRDefault="006D3DAE" w:rsidP="00345119">
            <w:pPr>
              <w:jc w:val="right"/>
            </w:pPr>
            <w:r>
              <w:t>S.B. 1276</w:t>
            </w:r>
          </w:p>
        </w:tc>
      </w:tr>
      <w:tr w:rsidR="00B04B6A" w:rsidTr="00345119">
        <w:tc>
          <w:tcPr>
            <w:tcW w:w="9576" w:type="dxa"/>
          </w:tcPr>
          <w:p w:rsidR="008423E4" w:rsidRPr="00861995" w:rsidRDefault="006D3DAE" w:rsidP="00D84CEA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B04B6A" w:rsidTr="00345119">
        <w:tc>
          <w:tcPr>
            <w:tcW w:w="9576" w:type="dxa"/>
          </w:tcPr>
          <w:p w:rsidR="008423E4" w:rsidRPr="00861995" w:rsidRDefault="006D3DAE" w:rsidP="00345119">
            <w:pPr>
              <w:jc w:val="right"/>
            </w:pPr>
            <w:r>
              <w:t>Higher Education</w:t>
            </w:r>
          </w:p>
        </w:tc>
      </w:tr>
      <w:tr w:rsidR="00B04B6A" w:rsidTr="00345119">
        <w:tc>
          <w:tcPr>
            <w:tcW w:w="9576" w:type="dxa"/>
          </w:tcPr>
          <w:p w:rsidR="008423E4" w:rsidRDefault="006D3D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3DAE" w:rsidP="008423E4">
      <w:pPr>
        <w:tabs>
          <w:tab w:val="right" w:pos="9360"/>
        </w:tabs>
      </w:pPr>
    </w:p>
    <w:p w:rsidR="008423E4" w:rsidRDefault="006D3DAE" w:rsidP="008423E4"/>
    <w:p w:rsidR="008423E4" w:rsidRDefault="006D3D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4B6A" w:rsidTr="00345119">
        <w:tc>
          <w:tcPr>
            <w:tcW w:w="9576" w:type="dxa"/>
          </w:tcPr>
          <w:p w:rsidR="008423E4" w:rsidRPr="00A8133F" w:rsidRDefault="006D3DAE" w:rsidP="004372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3DAE" w:rsidP="004372FB"/>
          <w:p w:rsidR="008423E4" w:rsidRDefault="006D3DAE" w:rsidP="004372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although </w:t>
            </w:r>
            <w:r>
              <w:t xml:space="preserve">both dual credit </w:t>
            </w:r>
            <w:r>
              <w:t>programs</w:t>
            </w:r>
            <w:r>
              <w:t xml:space="preserve"> and the system of subject-area endorsements within the public high school curriculum are strategies intended to </w:t>
            </w:r>
            <w:r>
              <w:t>facilitate</w:t>
            </w:r>
            <w:r>
              <w:t xml:space="preserve"> </w:t>
            </w:r>
            <w:r>
              <w:t>the</w:t>
            </w:r>
            <w:r>
              <w:t xml:space="preserve"> transition between high school and postsecondary education, these two approaches are often not well aligned. </w:t>
            </w:r>
            <w:r>
              <w:t>S.B. 1276</w:t>
            </w:r>
            <w:r>
              <w:t xml:space="preserve"> seeks to </w:t>
            </w:r>
            <w:r>
              <w:t xml:space="preserve">improve </w:t>
            </w:r>
            <w:r>
              <w:t xml:space="preserve">student </w:t>
            </w:r>
            <w:r>
              <w:t xml:space="preserve">outcomes by requiring an agreement between a public school district and a public institution of higher education for purposes of a dual credit program to </w:t>
            </w:r>
            <w:r>
              <w:t>provide for better alignment with endorsement course sequences and better coordination</w:t>
            </w:r>
            <w:r>
              <w:t xml:space="preserve"> of advising.</w:t>
            </w:r>
          </w:p>
          <w:p w:rsidR="008423E4" w:rsidRPr="00E26B13" w:rsidRDefault="006D3DAE" w:rsidP="004372FB">
            <w:pPr>
              <w:rPr>
                <w:b/>
              </w:rPr>
            </w:pPr>
          </w:p>
        </w:tc>
      </w:tr>
      <w:tr w:rsidR="00B04B6A" w:rsidTr="00345119">
        <w:tc>
          <w:tcPr>
            <w:tcW w:w="9576" w:type="dxa"/>
          </w:tcPr>
          <w:p w:rsidR="0017725B" w:rsidRDefault="006D3DAE" w:rsidP="004372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3DAE" w:rsidP="004372FB">
            <w:pPr>
              <w:rPr>
                <w:b/>
                <w:u w:val="single"/>
              </w:rPr>
            </w:pPr>
          </w:p>
          <w:p w:rsidR="00326522" w:rsidRPr="00326522" w:rsidRDefault="006D3DAE" w:rsidP="004372F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6D3DAE" w:rsidP="004372FB">
            <w:pPr>
              <w:rPr>
                <w:b/>
                <w:u w:val="single"/>
              </w:rPr>
            </w:pPr>
          </w:p>
        </w:tc>
      </w:tr>
      <w:tr w:rsidR="00B04B6A" w:rsidTr="00345119">
        <w:tc>
          <w:tcPr>
            <w:tcW w:w="9576" w:type="dxa"/>
          </w:tcPr>
          <w:p w:rsidR="008423E4" w:rsidRPr="00A8133F" w:rsidRDefault="006D3DAE" w:rsidP="004372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3DAE" w:rsidP="004372FB"/>
          <w:p w:rsidR="00326522" w:rsidRDefault="006D3DAE" w:rsidP="004372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D3DAE" w:rsidP="004372FB">
            <w:pPr>
              <w:rPr>
                <w:b/>
              </w:rPr>
            </w:pPr>
          </w:p>
        </w:tc>
      </w:tr>
      <w:tr w:rsidR="00B04B6A" w:rsidTr="00345119">
        <w:tc>
          <w:tcPr>
            <w:tcW w:w="9576" w:type="dxa"/>
          </w:tcPr>
          <w:p w:rsidR="008423E4" w:rsidRPr="00A8133F" w:rsidRDefault="006D3DAE" w:rsidP="004372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3DAE" w:rsidP="004372FB"/>
          <w:p w:rsidR="00964F2C" w:rsidRDefault="006D3DAE" w:rsidP="004372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1276</w:t>
            </w:r>
            <w:r>
              <w:t xml:space="preserve"> amends the Education Code to </w:t>
            </w:r>
            <w:r>
              <w:t>require</w:t>
            </w:r>
            <w:r>
              <w:t xml:space="preserve"> an agreement</w:t>
            </w:r>
            <w:r>
              <w:t xml:space="preserve">, including a </w:t>
            </w:r>
            <w:r w:rsidRPr="00DF1922">
              <w:t>memorandum of understanding or articulation agreement</w:t>
            </w:r>
            <w:r>
              <w:t>,</w:t>
            </w:r>
            <w:r>
              <w:t xml:space="preserve"> between a public school district and </w:t>
            </w:r>
            <w:r>
              <w:t xml:space="preserve">a </w:t>
            </w:r>
            <w:r>
              <w:t xml:space="preserve">public institution of higher education to provide a </w:t>
            </w:r>
            <w:r>
              <w:t xml:space="preserve">certain </w:t>
            </w:r>
            <w:r>
              <w:t>dual credit program</w:t>
            </w:r>
            <w:r>
              <w:t xml:space="preserve"> to do th</w:t>
            </w:r>
            <w:r>
              <w:t>e following</w:t>
            </w:r>
            <w:r>
              <w:t>:</w:t>
            </w:r>
            <w:r>
              <w:t xml:space="preserve"> </w:t>
            </w:r>
          </w:p>
          <w:p w:rsidR="00964F2C" w:rsidRDefault="006D3DAE" w:rsidP="004372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 common advising strategies and terminology related to dual credit and college readiness</w:t>
            </w:r>
            <w:r>
              <w:t xml:space="preserve">; </w:t>
            </w:r>
          </w:p>
          <w:p w:rsidR="00964F2C" w:rsidRDefault="006D3DAE" w:rsidP="004372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 for the alignment of endorsements offered by the district and dual credit courses offered under the agreement that apply towards those</w:t>
            </w:r>
            <w:r>
              <w:t xml:space="preserve"> endorsements with postsecondary pathways</w:t>
            </w:r>
            <w:r>
              <w:t xml:space="preserve"> and credentials</w:t>
            </w:r>
            <w:r>
              <w:t xml:space="preserve"> at the institution</w:t>
            </w:r>
            <w:r>
              <w:t xml:space="preserve"> and industry certifications</w:t>
            </w:r>
            <w:r>
              <w:t xml:space="preserve">; </w:t>
            </w:r>
            <w:r>
              <w:t xml:space="preserve">and </w:t>
            </w:r>
          </w:p>
          <w:p w:rsidR="008423E4" w:rsidRDefault="006D3DAE" w:rsidP="004372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identify tools to assist school counselors, students, and families in selecting endorsement</w:t>
            </w:r>
            <w:r>
              <w:t>s</w:t>
            </w:r>
            <w:r>
              <w:t xml:space="preserve"> offered by the district and dual credit courses offe</w:t>
            </w:r>
            <w:r>
              <w:t xml:space="preserve">red under the agreement. </w:t>
            </w:r>
          </w:p>
          <w:p w:rsidR="008423E4" w:rsidRPr="005C224B" w:rsidRDefault="006D3DAE" w:rsidP="004372FB">
            <w:r>
              <w:t xml:space="preserve">The bill </w:t>
            </w:r>
            <w:r w:rsidRPr="005C224B">
              <w:t>applies only to an agreement to provide a dual credit program entered into or renewed on or after September 1, 2019.</w:t>
            </w:r>
          </w:p>
          <w:p w:rsidR="00C37A13" w:rsidRPr="00835628" w:rsidRDefault="006D3DAE" w:rsidP="004372FB">
            <w:pPr>
              <w:rPr>
                <w:b/>
              </w:rPr>
            </w:pPr>
          </w:p>
        </w:tc>
      </w:tr>
      <w:tr w:rsidR="00B04B6A" w:rsidTr="00345119">
        <w:tc>
          <w:tcPr>
            <w:tcW w:w="9576" w:type="dxa"/>
          </w:tcPr>
          <w:p w:rsidR="008423E4" w:rsidRPr="00A8133F" w:rsidRDefault="006D3DAE" w:rsidP="004372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3DAE" w:rsidP="004372FB"/>
          <w:p w:rsidR="008423E4" w:rsidRPr="003624F2" w:rsidRDefault="006D3DAE" w:rsidP="004372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D3DAE" w:rsidP="004372FB">
            <w:pPr>
              <w:rPr>
                <w:b/>
              </w:rPr>
            </w:pPr>
          </w:p>
        </w:tc>
      </w:tr>
    </w:tbl>
    <w:p w:rsidR="008423E4" w:rsidRPr="00BE0E75" w:rsidRDefault="006D3D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3DA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3DAE">
      <w:r>
        <w:separator/>
      </w:r>
    </w:p>
  </w:endnote>
  <w:endnote w:type="continuationSeparator" w:id="0">
    <w:p w:rsidR="00000000" w:rsidRDefault="006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4B6A" w:rsidTr="009C1E9A">
      <w:trPr>
        <w:cantSplit/>
      </w:trPr>
      <w:tc>
        <w:tcPr>
          <w:tcW w:w="0" w:type="pct"/>
        </w:tcPr>
        <w:p w:rsidR="00137D90" w:rsidRDefault="006D3D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3D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3D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3D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3D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4B6A" w:rsidTr="009C1E9A">
      <w:trPr>
        <w:cantSplit/>
      </w:trPr>
      <w:tc>
        <w:tcPr>
          <w:tcW w:w="0" w:type="pct"/>
        </w:tcPr>
        <w:p w:rsidR="00EC379B" w:rsidRDefault="006D3D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3D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28603</w:t>
          </w:r>
        </w:p>
      </w:tc>
      <w:tc>
        <w:tcPr>
          <w:tcW w:w="2453" w:type="pct"/>
        </w:tcPr>
        <w:p w:rsidR="00EC379B" w:rsidRDefault="006D3D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19.109.427</w:t>
          </w:r>
          <w:r>
            <w:fldChar w:fldCharType="end"/>
          </w:r>
        </w:p>
      </w:tc>
    </w:tr>
    <w:tr w:rsidR="00B04B6A" w:rsidTr="009C1E9A">
      <w:trPr>
        <w:cantSplit/>
      </w:trPr>
      <w:tc>
        <w:tcPr>
          <w:tcW w:w="0" w:type="pct"/>
        </w:tcPr>
        <w:p w:rsidR="00EC379B" w:rsidRDefault="006D3D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3D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3DAE" w:rsidP="006D504F">
          <w:pPr>
            <w:pStyle w:val="Footer"/>
            <w:rPr>
              <w:rStyle w:val="PageNumber"/>
            </w:rPr>
          </w:pPr>
        </w:p>
        <w:p w:rsidR="00EC379B" w:rsidRDefault="006D3D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4B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3D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3D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3D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3DAE">
      <w:r>
        <w:separator/>
      </w:r>
    </w:p>
  </w:footnote>
  <w:footnote w:type="continuationSeparator" w:id="0">
    <w:p w:rsidR="00000000" w:rsidRDefault="006D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0682"/>
    <w:multiLevelType w:val="hybridMultilevel"/>
    <w:tmpl w:val="AA44A68A"/>
    <w:lvl w:ilvl="0" w:tplc="66B6A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2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C6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6E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87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A9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F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2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6A"/>
    <w:rsid w:val="006D3DAE"/>
    <w:rsid w:val="00B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8C67E-3836-49D3-A822-64FA634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28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8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8A9"/>
    <w:rPr>
      <w:b/>
      <w:bCs/>
    </w:rPr>
  </w:style>
  <w:style w:type="paragraph" w:styleId="Revision">
    <w:name w:val="Revision"/>
    <w:hidden/>
    <w:uiPriority w:val="99"/>
    <w:semiHidden/>
    <w:rsid w:val="002C1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1867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SB01276 (Committee Report (Unamended))</vt:lpstr>
    </vt:vector>
  </TitlesOfParts>
  <Company>State of Texas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28603</dc:subject>
  <dc:creator>State of Texas</dc:creator>
  <dc:description>SB 1276 by Powell-(H)Higher Education</dc:description>
  <cp:lastModifiedBy>Scotty Wimberley</cp:lastModifiedBy>
  <cp:revision>2</cp:revision>
  <cp:lastPrinted>2003-11-26T17:21:00Z</cp:lastPrinted>
  <dcterms:created xsi:type="dcterms:W3CDTF">2019-04-29T21:15:00Z</dcterms:created>
  <dcterms:modified xsi:type="dcterms:W3CDTF">2019-04-29T21:15:00Z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19.109.427</vt:lpwstr>
  </property>
</Properties>
</file>